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B20" w:rsidRPr="00585B20" w:rsidRDefault="00585B20" w:rsidP="00585B20">
      <w:pPr>
        <w:widowControl w:val="0"/>
        <w:rPr>
          <w:rFonts w:ascii="Arial Black" w:hAnsi="Arial Black"/>
          <w:sz w:val="32"/>
          <w:szCs w:val="32"/>
        </w:rPr>
      </w:pPr>
      <w:r w:rsidRPr="00585B20">
        <w:rPr>
          <w:rFonts w:ascii="Arial Black" w:hAnsi="Arial Black"/>
          <w:sz w:val="32"/>
          <w:szCs w:val="32"/>
        </w:rPr>
        <w:t>National Cervical Screening</w:t>
      </w:r>
    </w:p>
    <w:p w:rsidR="00585B20" w:rsidRDefault="00585B20" w:rsidP="00585B20">
      <w:pPr>
        <w:widowControl w:val="0"/>
        <w:rPr>
          <w:rFonts w:ascii="Arial Black" w:hAnsi="Arial Black"/>
          <w:sz w:val="24"/>
          <w:szCs w:val="24"/>
        </w:rPr>
      </w:pPr>
      <w:r>
        <w:rPr>
          <w:rFonts w:ascii="Arial Black" w:hAnsi="Arial Black"/>
          <w:sz w:val="24"/>
          <w:szCs w:val="24"/>
        </w:rPr>
        <w:t>How to Fill Out the Pathology Request Form</w:t>
      </w:r>
    </w:p>
    <w:p w:rsidR="00585B20" w:rsidRPr="00585B20" w:rsidRDefault="00585B20" w:rsidP="00585B20">
      <w:pPr>
        <w:widowControl w:val="0"/>
        <w:spacing w:line="240" w:lineRule="auto"/>
      </w:pPr>
      <w:r w:rsidRPr="00585B20">
        <w:t>In order for ACT Pathology to perform the correct test and provide the appropriate recommendation on your patient’s sample, as well as correctly bill to Medicare, it is important that the pathology request form is          completed correctly.</w:t>
      </w:r>
    </w:p>
    <w:p w:rsidR="00724823" w:rsidRPr="00BD15CC" w:rsidRDefault="00585B20" w:rsidP="00E170C8">
      <w:pPr>
        <w:pStyle w:val="Title"/>
        <w:jc w:val="left"/>
        <w:rPr>
          <w:rFonts w:ascii="Calibri" w:hAnsi="Calibri"/>
          <w:b w:val="0"/>
          <w:bCs w:val="0"/>
          <w:sz w:val="20"/>
          <w:szCs w:val="20"/>
        </w:rPr>
      </w:pPr>
      <w:r w:rsidRPr="00BD15CC">
        <w:rPr>
          <w:rFonts w:ascii="Calibri" w:hAnsi="Calibri"/>
          <w:b w:val="0"/>
          <w:bCs w:val="0"/>
          <w:sz w:val="20"/>
          <w:szCs w:val="20"/>
        </w:rPr>
        <w:t>The following are guidelines</w:t>
      </w:r>
      <w:r w:rsidR="00E170C8" w:rsidRPr="00BD15CC">
        <w:rPr>
          <w:rFonts w:ascii="Calibri" w:hAnsi="Calibri"/>
          <w:b w:val="0"/>
          <w:bCs w:val="0"/>
          <w:sz w:val="20"/>
          <w:szCs w:val="20"/>
        </w:rPr>
        <w:t xml:space="preserve"> for requesting cervical tests depending on the clinical scenario:</w:t>
      </w:r>
    </w:p>
    <w:p w:rsidR="00724823" w:rsidRDefault="00B274B7" w:rsidP="000723DC">
      <w:r>
        <w:rPr>
          <w:noProof/>
        </w:rPr>
        <mc:AlternateContent>
          <mc:Choice Requires="wps">
            <w:drawing>
              <wp:anchor distT="0" distB="0" distL="114300" distR="114300" simplePos="0" relativeHeight="251659264" behindDoc="0" locked="0" layoutInCell="1" allowOverlap="1">
                <wp:simplePos x="0" y="0"/>
                <wp:positionH relativeFrom="column">
                  <wp:posOffset>3109595</wp:posOffset>
                </wp:positionH>
                <wp:positionV relativeFrom="paragraph">
                  <wp:posOffset>189865</wp:posOffset>
                </wp:positionV>
                <wp:extent cx="2438400" cy="6534150"/>
                <wp:effectExtent l="9525" t="11430" r="952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6534150"/>
                        </a:xfrm>
                        <a:prstGeom prst="rect">
                          <a:avLst/>
                        </a:prstGeom>
                        <a:solidFill>
                          <a:srgbClr val="FFFFFF"/>
                        </a:solidFill>
                        <a:ln w="9525">
                          <a:solidFill>
                            <a:srgbClr val="000000"/>
                          </a:solidFill>
                          <a:miter lim="800000"/>
                          <a:headEnd/>
                          <a:tailEnd/>
                        </a:ln>
                      </wps:spPr>
                      <wps:txbx>
                        <w:txbxContent>
                          <w:p w:rsidR="00585B20" w:rsidRPr="00585B20" w:rsidRDefault="00585B20" w:rsidP="00585B20">
                            <w:pPr>
                              <w:pStyle w:val="Factsheet-header"/>
                              <w:spacing w:after="0" w:line="240" w:lineRule="auto"/>
                              <w:rPr>
                                <w:b/>
                                <w:bCs/>
                                <w:sz w:val="18"/>
                                <w:szCs w:val="18"/>
                              </w:rPr>
                            </w:pPr>
                            <w:r w:rsidRPr="00585B20">
                              <w:rPr>
                                <w:b/>
                                <w:bCs/>
                                <w:sz w:val="18"/>
                                <w:szCs w:val="18"/>
                              </w:rPr>
                              <w:t xml:space="preserve">Previous </w:t>
                            </w:r>
                            <w:proofErr w:type="spellStart"/>
                            <w:r w:rsidRPr="00585B20">
                              <w:rPr>
                                <w:b/>
                                <w:bCs/>
                                <w:sz w:val="18"/>
                                <w:szCs w:val="18"/>
                              </w:rPr>
                              <w:t>Endocervical</w:t>
                            </w:r>
                            <w:proofErr w:type="spellEnd"/>
                            <w:r w:rsidRPr="00585B20">
                              <w:rPr>
                                <w:b/>
                                <w:bCs/>
                                <w:sz w:val="18"/>
                                <w:szCs w:val="18"/>
                              </w:rPr>
                              <w:t xml:space="preserve"> Adenocarcinoma In-Situ (AIS)</w:t>
                            </w:r>
                          </w:p>
                          <w:p w:rsidR="00E170C8" w:rsidRDefault="00E170C8" w:rsidP="00585B20">
                            <w:pPr>
                              <w:pStyle w:val="Factsheet-header"/>
                              <w:widowControl w:val="0"/>
                              <w:spacing w:after="0" w:line="240" w:lineRule="auto"/>
                              <w:rPr>
                                <w:rFonts w:ascii="Calibri" w:hAnsi="Calibri"/>
                                <w:sz w:val="18"/>
                                <w:szCs w:val="18"/>
                              </w:rPr>
                            </w:pP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Patients with previously treated AI</w:t>
                            </w:r>
                            <w:r w:rsidR="00E170C8">
                              <w:rPr>
                                <w:rFonts w:ascii="Calibri" w:hAnsi="Calibri"/>
                                <w:sz w:val="18"/>
                                <w:szCs w:val="18"/>
                              </w:rPr>
                              <w:t xml:space="preserve">S require annual </w:t>
                            </w:r>
                            <w:r w:rsidRPr="00585B20">
                              <w:rPr>
                                <w:rFonts w:ascii="Calibri" w:hAnsi="Calibri"/>
                                <w:sz w:val="18"/>
                                <w:szCs w:val="18"/>
                              </w:rPr>
                              <w:t>co-testing.</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Previous AIS”.</w:t>
                            </w:r>
                          </w:p>
                          <w:p w:rsidR="00585B20" w:rsidRPr="00585B20" w:rsidRDefault="00585B20" w:rsidP="00585B20">
                            <w:pPr>
                              <w:pStyle w:val="Factsheet-header"/>
                              <w:widowControl w:val="0"/>
                              <w:spacing w:after="0" w:line="240" w:lineRule="auto"/>
                              <w:rPr>
                                <w:bCs/>
                                <w:sz w:val="18"/>
                                <w:szCs w:val="18"/>
                              </w:rPr>
                            </w:pPr>
                            <w:r w:rsidRPr="00585B20">
                              <w:rPr>
                                <w:b/>
                                <w:bCs/>
                                <w:sz w:val="18"/>
                                <w:szCs w:val="18"/>
                              </w:rPr>
                              <w:t> </w:t>
                            </w:r>
                          </w:p>
                          <w:p w:rsidR="00585B20" w:rsidRPr="00585B20" w:rsidRDefault="00585B20" w:rsidP="00585B20">
                            <w:pPr>
                              <w:pStyle w:val="Factsheet-header"/>
                              <w:widowControl w:val="0"/>
                              <w:spacing w:after="0" w:line="240" w:lineRule="auto"/>
                              <w:rPr>
                                <w:b/>
                                <w:bCs/>
                                <w:sz w:val="18"/>
                                <w:szCs w:val="18"/>
                              </w:rPr>
                            </w:pPr>
                            <w:r w:rsidRPr="00585B20">
                              <w:rPr>
                                <w:b/>
                                <w:bCs/>
                                <w:sz w:val="18"/>
                                <w:szCs w:val="18"/>
                              </w:rPr>
                              <w:t>Other Useful Information</w:t>
                            </w:r>
                          </w:p>
                          <w:p w:rsidR="00585B20" w:rsidRPr="00585B20" w:rsidRDefault="00585B20" w:rsidP="00585B20">
                            <w:pPr>
                              <w:widowControl w:val="0"/>
                              <w:spacing w:line="240" w:lineRule="auto"/>
                              <w:rPr>
                                <w:sz w:val="18"/>
                                <w:szCs w:val="18"/>
                              </w:rPr>
                            </w:pPr>
                            <w:r w:rsidRPr="00585B20">
                              <w:rPr>
                                <w:sz w:val="18"/>
                                <w:szCs w:val="18"/>
                              </w:rPr>
                              <w:t>Other useful clinical information includes:</w:t>
                            </w:r>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w:t>
                            </w:r>
                            <w:proofErr w:type="spellStart"/>
                            <w:r w:rsidRPr="00585B20">
                              <w:rPr>
                                <w:sz w:val="18"/>
                                <w:szCs w:val="18"/>
                              </w:rPr>
                              <w:t>Immunodeficient</w:t>
                            </w:r>
                            <w:proofErr w:type="spellEnd"/>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Previous hysterectomy (indication included)</w:t>
                            </w:r>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Abnormal uterine bleeding</w:t>
                            </w:r>
                          </w:p>
                          <w:p w:rsidR="00585B20" w:rsidRPr="00585B20" w:rsidRDefault="00585B20" w:rsidP="00E170C8">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xml:space="preserve"> DES exposure. </w:t>
                            </w:r>
                          </w:p>
                          <w:p w:rsidR="00585B20" w:rsidRPr="00E170C8" w:rsidRDefault="00E170C8" w:rsidP="00585B20">
                            <w:pPr>
                              <w:pStyle w:val="Factsheet-header"/>
                              <w:spacing w:after="0" w:line="240" w:lineRule="auto"/>
                              <w:rPr>
                                <w:b/>
                                <w:bCs/>
                                <w:sz w:val="18"/>
                                <w:szCs w:val="18"/>
                              </w:rPr>
                            </w:pPr>
                            <w:r>
                              <w:rPr>
                                <w:b/>
                                <w:bCs/>
                                <w:sz w:val="18"/>
                                <w:szCs w:val="18"/>
                              </w:rPr>
                              <w:t xml:space="preserve">‘Opting Off’ the </w:t>
                            </w:r>
                            <w:r w:rsidR="00585B20" w:rsidRPr="00585B20">
                              <w:rPr>
                                <w:b/>
                                <w:bCs/>
                                <w:sz w:val="18"/>
                                <w:szCs w:val="18"/>
                              </w:rPr>
                              <w:t>Register</w:t>
                            </w:r>
                          </w:p>
                          <w:p w:rsid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 xml:space="preserve">It is now the responsibility of the patients or their medical practitioner to notify the NCSR if patients wish to “opt off” the National Cancer Screening Register. This function can no longer be performed by the Laboratories. </w:t>
                            </w:r>
                          </w:p>
                          <w:p w:rsidR="00B274B7" w:rsidRPr="00585B20" w:rsidRDefault="00B274B7" w:rsidP="00585B20">
                            <w:pPr>
                              <w:pStyle w:val="Factsheet-header"/>
                              <w:widowControl w:val="0"/>
                              <w:spacing w:after="0" w:line="240" w:lineRule="auto"/>
                              <w:rPr>
                                <w:rFonts w:ascii="Calibri" w:hAnsi="Calibri"/>
                                <w:sz w:val="18"/>
                                <w:szCs w:val="18"/>
                              </w:rPr>
                            </w:pPr>
                            <w:r w:rsidRPr="004137C9">
                              <w:rPr>
                                <w:noProof/>
                              </w:rPr>
                              <w:drawing>
                                <wp:inline distT="0" distB="0" distL="0" distR="0">
                                  <wp:extent cx="1780273" cy="26289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bright="10000" contrast="10000"/>
                                            <a:extLst>
                                              <a:ext uri="{28A0092B-C50C-407E-A947-70E740481C1C}">
                                                <a14:useLocalDpi xmlns:a14="http://schemas.microsoft.com/office/drawing/2010/main" val="0"/>
                                              </a:ext>
                                            </a:extLst>
                                          </a:blip>
                                          <a:srcRect t="5635" r="14848"/>
                                          <a:stretch>
                                            <a:fillRect/>
                                          </a:stretch>
                                        </pic:blipFill>
                                        <pic:spPr bwMode="auto">
                                          <a:xfrm>
                                            <a:off x="0" y="0"/>
                                            <a:ext cx="1785482" cy="2636592"/>
                                          </a:xfrm>
                                          <a:prstGeom prst="rect">
                                            <a:avLst/>
                                          </a:prstGeom>
                                          <a:noFill/>
                                          <a:ln>
                                            <a:noFill/>
                                          </a:ln>
                                        </pic:spPr>
                                      </pic:pic>
                                    </a:graphicData>
                                  </a:graphic>
                                </wp:inline>
                              </w:drawing>
                            </w:r>
                          </w:p>
                          <w:p w:rsidR="00585B20" w:rsidRPr="00585B20" w:rsidRDefault="00585B20" w:rsidP="00585B20">
                            <w:pPr>
                              <w:pStyle w:val="Factsheet-header"/>
                              <w:widowControl w:val="0"/>
                              <w:spacing w:after="0"/>
                              <w:rPr>
                                <w:rFonts w:ascii="Calibri" w:hAnsi="Calibri"/>
                                <w:sz w:val="18"/>
                                <w:szCs w:val="18"/>
                              </w:rPr>
                            </w:pPr>
                          </w:p>
                          <w:p w:rsidR="00585B20" w:rsidRDefault="00585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4.85pt;margin-top:14.95pt;width:192pt;height:5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">
                <v:textbox>
                  <w:txbxContent>
                    <w:p w:rsidR="00585B20" w:rsidRPr="00585B20" w:rsidRDefault="00585B20" w:rsidP="00585B20">
                      <w:pPr>
                        <w:pStyle w:val="Factsheet-header"/>
                        <w:spacing w:after="0" w:line="240" w:lineRule="auto"/>
                        <w:rPr>
                          <w:b/>
                          <w:bCs/>
                          <w:sz w:val="18"/>
                          <w:szCs w:val="18"/>
                        </w:rPr>
                      </w:pPr>
                      <w:r w:rsidRPr="00585B20">
                        <w:rPr>
                          <w:b/>
                          <w:bCs/>
                          <w:sz w:val="18"/>
                          <w:szCs w:val="18"/>
                        </w:rPr>
                        <w:t xml:space="preserve">Previous </w:t>
                      </w:r>
                      <w:proofErr w:type="spellStart"/>
                      <w:r w:rsidRPr="00585B20">
                        <w:rPr>
                          <w:b/>
                          <w:bCs/>
                          <w:sz w:val="18"/>
                          <w:szCs w:val="18"/>
                        </w:rPr>
                        <w:t>Endocervical</w:t>
                      </w:r>
                      <w:proofErr w:type="spellEnd"/>
                      <w:r w:rsidRPr="00585B20">
                        <w:rPr>
                          <w:b/>
                          <w:bCs/>
                          <w:sz w:val="18"/>
                          <w:szCs w:val="18"/>
                        </w:rPr>
                        <w:t xml:space="preserve"> Adenocarcinoma In-Situ (AIS)</w:t>
                      </w:r>
                    </w:p>
                    <w:p w:rsidR="00E170C8" w:rsidRDefault="00E170C8" w:rsidP="00585B20">
                      <w:pPr>
                        <w:pStyle w:val="Factsheet-header"/>
                        <w:widowControl w:val="0"/>
                        <w:spacing w:after="0" w:line="240" w:lineRule="auto"/>
                        <w:rPr>
                          <w:rFonts w:ascii="Calibri" w:hAnsi="Calibri"/>
                          <w:sz w:val="18"/>
                          <w:szCs w:val="18"/>
                        </w:rPr>
                      </w:pP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Patients with previously treated AI</w:t>
                      </w:r>
                      <w:r w:rsidR="00E170C8">
                        <w:rPr>
                          <w:rFonts w:ascii="Calibri" w:hAnsi="Calibri"/>
                          <w:sz w:val="18"/>
                          <w:szCs w:val="18"/>
                        </w:rPr>
                        <w:t xml:space="preserve">S require annual </w:t>
                      </w:r>
                      <w:bookmarkStart w:id="1" w:name="_GoBack"/>
                      <w:bookmarkEnd w:id="1"/>
                      <w:r w:rsidRPr="00585B20">
                        <w:rPr>
                          <w:rFonts w:ascii="Calibri" w:hAnsi="Calibri"/>
                          <w:sz w:val="18"/>
                          <w:szCs w:val="18"/>
                        </w:rPr>
                        <w:t>co-testing.</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Previous AIS”.</w:t>
                      </w:r>
                    </w:p>
                    <w:p w:rsidR="00585B20" w:rsidRPr="00585B20" w:rsidRDefault="00585B20" w:rsidP="00585B20">
                      <w:pPr>
                        <w:pStyle w:val="Factsheet-header"/>
                        <w:widowControl w:val="0"/>
                        <w:spacing w:after="0" w:line="240" w:lineRule="auto"/>
                        <w:rPr>
                          <w:bCs/>
                          <w:sz w:val="18"/>
                          <w:szCs w:val="18"/>
                        </w:rPr>
                      </w:pPr>
                      <w:r w:rsidRPr="00585B20">
                        <w:rPr>
                          <w:b/>
                          <w:bCs/>
                          <w:sz w:val="18"/>
                          <w:szCs w:val="18"/>
                        </w:rPr>
                        <w:t> </w:t>
                      </w:r>
                    </w:p>
                    <w:p w:rsidR="00585B20" w:rsidRPr="00585B20" w:rsidRDefault="00585B20" w:rsidP="00585B20">
                      <w:pPr>
                        <w:pStyle w:val="Factsheet-header"/>
                        <w:widowControl w:val="0"/>
                        <w:spacing w:after="0" w:line="240" w:lineRule="auto"/>
                        <w:rPr>
                          <w:b/>
                          <w:bCs/>
                          <w:sz w:val="18"/>
                          <w:szCs w:val="18"/>
                        </w:rPr>
                      </w:pPr>
                      <w:r w:rsidRPr="00585B20">
                        <w:rPr>
                          <w:b/>
                          <w:bCs/>
                          <w:sz w:val="18"/>
                          <w:szCs w:val="18"/>
                        </w:rPr>
                        <w:t>Other Useful Information</w:t>
                      </w:r>
                    </w:p>
                    <w:p w:rsidR="00585B20" w:rsidRPr="00585B20" w:rsidRDefault="00585B20" w:rsidP="00585B20">
                      <w:pPr>
                        <w:widowControl w:val="0"/>
                        <w:spacing w:line="240" w:lineRule="auto"/>
                        <w:rPr>
                          <w:sz w:val="18"/>
                          <w:szCs w:val="18"/>
                        </w:rPr>
                      </w:pPr>
                      <w:r w:rsidRPr="00585B20">
                        <w:rPr>
                          <w:sz w:val="18"/>
                          <w:szCs w:val="18"/>
                        </w:rPr>
                        <w:t>Other useful clinical information includes:</w:t>
                      </w:r>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w:t>
                      </w:r>
                      <w:proofErr w:type="spellStart"/>
                      <w:r w:rsidRPr="00585B20">
                        <w:rPr>
                          <w:sz w:val="18"/>
                          <w:szCs w:val="18"/>
                        </w:rPr>
                        <w:t>Immunodeficient</w:t>
                      </w:r>
                      <w:proofErr w:type="spellEnd"/>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Previous hysterectomy (indication included)</w:t>
                      </w:r>
                    </w:p>
                    <w:p w:rsidR="00585B20" w:rsidRPr="00585B20" w:rsidRDefault="00585B20" w:rsidP="00585B20">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Abnormal uterine bleeding</w:t>
                      </w:r>
                    </w:p>
                    <w:p w:rsidR="00585B20" w:rsidRPr="00585B20" w:rsidRDefault="00585B20" w:rsidP="00E170C8">
                      <w:pPr>
                        <w:widowControl w:val="0"/>
                        <w:spacing w:line="240" w:lineRule="auto"/>
                        <w:ind w:left="897" w:hanging="283"/>
                        <w:rPr>
                          <w:sz w:val="18"/>
                          <w:szCs w:val="18"/>
                        </w:rPr>
                      </w:pPr>
                      <w:r w:rsidRPr="00585B20">
                        <w:rPr>
                          <w:rFonts w:ascii="Symbol" w:hAnsi="Symbol"/>
                          <w:sz w:val="18"/>
                          <w:szCs w:val="18"/>
                          <w:lang w:val="x-none"/>
                        </w:rPr>
                        <w:t></w:t>
                      </w:r>
                      <w:r w:rsidRPr="00585B20">
                        <w:rPr>
                          <w:sz w:val="18"/>
                          <w:szCs w:val="18"/>
                        </w:rPr>
                        <w:t xml:space="preserve"> DES exposure. </w:t>
                      </w:r>
                    </w:p>
                    <w:p w:rsidR="00585B20" w:rsidRPr="00E170C8" w:rsidRDefault="00E170C8" w:rsidP="00585B20">
                      <w:pPr>
                        <w:pStyle w:val="Factsheet-header"/>
                        <w:spacing w:after="0" w:line="240" w:lineRule="auto"/>
                        <w:rPr>
                          <w:b/>
                          <w:bCs/>
                          <w:sz w:val="18"/>
                          <w:szCs w:val="18"/>
                        </w:rPr>
                      </w:pPr>
                      <w:r>
                        <w:rPr>
                          <w:b/>
                          <w:bCs/>
                          <w:sz w:val="18"/>
                          <w:szCs w:val="18"/>
                        </w:rPr>
                        <w:t xml:space="preserve">‘Opting Off’ the </w:t>
                      </w:r>
                      <w:r w:rsidR="00585B20" w:rsidRPr="00585B20">
                        <w:rPr>
                          <w:b/>
                          <w:bCs/>
                          <w:sz w:val="18"/>
                          <w:szCs w:val="18"/>
                        </w:rPr>
                        <w:t>Register</w:t>
                      </w:r>
                    </w:p>
                    <w:p w:rsid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 xml:space="preserve">It is now the responsibility of the patients or their medical practitioner to notify the NCSR if patients wish to “opt off” the National Cancer Screening Register. This function can no longer be performed by the Laboratories. </w:t>
                      </w:r>
                    </w:p>
                    <w:p w:rsidR="00B274B7" w:rsidRPr="00585B20" w:rsidRDefault="00B274B7" w:rsidP="00585B20">
                      <w:pPr>
                        <w:pStyle w:val="Factsheet-header"/>
                        <w:widowControl w:val="0"/>
                        <w:spacing w:after="0" w:line="240" w:lineRule="auto"/>
                        <w:rPr>
                          <w:rFonts w:ascii="Calibri" w:hAnsi="Calibri"/>
                          <w:sz w:val="18"/>
                          <w:szCs w:val="18"/>
                        </w:rPr>
                      </w:pPr>
                      <w:r w:rsidRPr="004137C9">
                        <w:rPr>
                          <w:noProof/>
                        </w:rPr>
                        <w:drawing>
                          <wp:inline distT="0" distB="0" distL="0" distR="0">
                            <wp:extent cx="1780273" cy="26289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t="5635" r="14848"/>
                                    <a:stretch>
                                      <a:fillRect/>
                                    </a:stretch>
                                  </pic:blipFill>
                                  <pic:spPr bwMode="auto">
                                    <a:xfrm>
                                      <a:off x="0" y="0"/>
                                      <a:ext cx="1785482" cy="2636592"/>
                                    </a:xfrm>
                                    <a:prstGeom prst="rect">
                                      <a:avLst/>
                                    </a:prstGeom>
                                    <a:noFill/>
                                    <a:ln>
                                      <a:noFill/>
                                    </a:ln>
                                  </pic:spPr>
                                </pic:pic>
                              </a:graphicData>
                            </a:graphic>
                          </wp:inline>
                        </w:drawing>
                      </w:r>
                    </w:p>
                    <w:p w:rsidR="00585B20" w:rsidRPr="00585B20" w:rsidRDefault="00585B20" w:rsidP="00585B20">
                      <w:pPr>
                        <w:pStyle w:val="Factsheet-header"/>
                        <w:widowControl w:val="0"/>
                        <w:spacing w:after="0"/>
                        <w:rPr>
                          <w:rFonts w:ascii="Calibri" w:hAnsi="Calibri"/>
                          <w:sz w:val="18"/>
                          <w:szCs w:val="18"/>
                        </w:rPr>
                      </w:pPr>
                    </w:p>
                    <w:p w:rsidR="00585B20" w:rsidRDefault="00585B20"/>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-100330</wp:posOffset>
                </wp:positionH>
                <wp:positionV relativeFrom="paragraph">
                  <wp:posOffset>189865</wp:posOffset>
                </wp:positionV>
                <wp:extent cx="2438400" cy="7172325"/>
                <wp:effectExtent l="9525" t="11430" r="952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7172325"/>
                        </a:xfrm>
                        <a:prstGeom prst="rect">
                          <a:avLst/>
                        </a:prstGeom>
                        <a:solidFill>
                          <a:srgbClr val="FFFFFF"/>
                        </a:solidFill>
                        <a:ln w="9525">
                          <a:solidFill>
                            <a:srgbClr val="000000"/>
                          </a:solidFill>
                          <a:miter lim="800000"/>
                          <a:headEnd/>
                          <a:tailEnd/>
                        </a:ln>
                      </wps:spPr>
                      <wps:txbx>
                        <w:txbxContent>
                          <w:p w:rsidR="00585B20" w:rsidRPr="00585B20" w:rsidRDefault="00585B20" w:rsidP="00585B20">
                            <w:pPr>
                              <w:pStyle w:val="Factsheet-header"/>
                              <w:spacing w:after="0" w:line="240" w:lineRule="auto"/>
                              <w:rPr>
                                <w:b/>
                                <w:bCs/>
                                <w:sz w:val="18"/>
                                <w:szCs w:val="18"/>
                              </w:rPr>
                            </w:pPr>
                            <w:r w:rsidRPr="00585B20">
                              <w:rPr>
                                <w:b/>
                                <w:bCs/>
                                <w:sz w:val="18"/>
                                <w:szCs w:val="18"/>
                              </w:rPr>
                              <w:t>Asymptomatic Patients – Women Over 25 Years of Age</w:t>
                            </w:r>
                          </w:p>
                          <w:p w:rsidR="00585B20" w:rsidRPr="00585B20" w:rsidRDefault="00585B20" w:rsidP="00585B20">
                            <w:pPr>
                              <w:pStyle w:val="Factsheet-header"/>
                              <w:spacing w:after="0" w:line="240" w:lineRule="auto"/>
                              <w:rPr>
                                <w:rFonts w:ascii="Calibri" w:hAnsi="Calibri"/>
                                <w:bCs/>
                                <w:sz w:val="18"/>
                                <w:szCs w:val="18"/>
                              </w:rPr>
                            </w:pPr>
                          </w:p>
                          <w:p w:rsidR="00585B20" w:rsidRPr="00585B20" w:rsidRDefault="00585B20" w:rsidP="00585B20">
                            <w:pPr>
                              <w:widowControl w:val="0"/>
                              <w:spacing w:line="240" w:lineRule="auto"/>
                              <w:rPr>
                                <w:sz w:val="18"/>
                                <w:szCs w:val="18"/>
                              </w:rPr>
                            </w:pPr>
                            <w:r w:rsidRPr="00585B20">
                              <w:rPr>
                                <w:sz w:val="18"/>
                                <w:szCs w:val="18"/>
                              </w:rPr>
                              <w:t>Most of your patients will have no significant         previous history or symptoms. These women, who are over 25, will receive a postal invitation from the National Ca</w:t>
                            </w:r>
                            <w:bookmarkStart w:id="0" w:name="_GoBack"/>
                            <w:bookmarkEnd w:id="0"/>
                            <w:r w:rsidRPr="00585B20">
                              <w:rPr>
                                <w:sz w:val="18"/>
                                <w:szCs w:val="18"/>
                              </w:rPr>
                              <w:t>ncer Screening Register (NCSR) for a routine cervical screening test every five years.</w:t>
                            </w:r>
                          </w:p>
                          <w:p w:rsidR="00585B20" w:rsidRPr="00585B20" w:rsidRDefault="00585B20" w:rsidP="00585B20">
                            <w:pPr>
                              <w:widowControl w:val="0"/>
                              <w:spacing w:line="240" w:lineRule="auto"/>
                              <w:rPr>
                                <w:b/>
                                <w:bCs/>
                                <w:sz w:val="18"/>
                                <w:szCs w:val="18"/>
                                <w:u w:val="single"/>
                              </w:rPr>
                            </w:pPr>
                            <w:r w:rsidRPr="00585B20">
                              <w:rPr>
                                <w:b/>
                                <w:bCs/>
                                <w:sz w:val="18"/>
                                <w:szCs w:val="18"/>
                                <w:u w:val="single"/>
                              </w:rPr>
                              <w:t>The Pathology Request Form for These Women Should State “Routine – Cervical Screening Test”.</w:t>
                            </w:r>
                          </w:p>
                          <w:p w:rsidR="00585B20" w:rsidRPr="00585B20" w:rsidRDefault="00585B20" w:rsidP="00585B20">
                            <w:pPr>
                              <w:widowControl w:val="0"/>
                              <w:spacing w:line="240" w:lineRule="auto"/>
                              <w:rPr>
                                <w:sz w:val="18"/>
                                <w:szCs w:val="18"/>
                              </w:rPr>
                            </w:pPr>
                            <w:r w:rsidRPr="00585B20">
                              <w:rPr>
                                <w:sz w:val="18"/>
                                <w:szCs w:val="18"/>
                              </w:rPr>
                              <w:t>The laboratory will do HPV testing and/or liquid based cytology as appropriate.</w:t>
                            </w:r>
                          </w:p>
                          <w:p w:rsidR="00585B20" w:rsidRPr="00585B20" w:rsidRDefault="00585B20" w:rsidP="00585B20">
                            <w:pPr>
                              <w:pStyle w:val="Factsheet-header"/>
                              <w:spacing w:after="0" w:line="240" w:lineRule="auto"/>
                              <w:rPr>
                                <w:b/>
                                <w:bCs/>
                                <w:sz w:val="18"/>
                                <w:szCs w:val="18"/>
                              </w:rPr>
                            </w:pPr>
                            <w:r w:rsidRPr="00585B20">
                              <w:rPr>
                                <w:rFonts w:ascii="Calibri" w:hAnsi="Calibri"/>
                                <w:sz w:val="18"/>
                                <w:szCs w:val="18"/>
                              </w:rPr>
                              <w:t> </w:t>
                            </w:r>
                            <w:r w:rsidRPr="00585B20">
                              <w:rPr>
                                <w:b/>
                                <w:bCs/>
                                <w:sz w:val="18"/>
                                <w:szCs w:val="18"/>
                              </w:rPr>
                              <w:t>Symptomatic Patients</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Women of any age who are symptomatic (e.g. post-menopausal bleeding) may require HPV and liquid-based cytology performed on their specimen i.e. Co-testing.</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Symptomatic”.</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A description of the relevant symptoms should also be added.</w:t>
                            </w:r>
                          </w:p>
                          <w:p w:rsidR="00585B20" w:rsidRPr="00585B20" w:rsidRDefault="00585B20" w:rsidP="00585B20">
                            <w:pPr>
                              <w:pStyle w:val="Factsheet-header"/>
                              <w:widowControl w:val="0"/>
                              <w:spacing w:after="0" w:line="240" w:lineRule="auto"/>
                              <w:rPr>
                                <w:rFonts w:ascii="Calibri" w:hAnsi="Calibri"/>
                                <w:sz w:val="18"/>
                                <w:szCs w:val="18"/>
                              </w:rPr>
                            </w:pPr>
                          </w:p>
                          <w:p w:rsidR="00585B20" w:rsidRPr="00585B20" w:rsidRDefault="00585B20" w:rsidP="00585B20">
                            <w:pPr>
                              <w:pStyle w:val="Factsheet-header"/>
                              <w:widowControl w:val="0"/>
                              <w:spacing w:after="0" w:line="240" w:lineRule="auto"/>
                              <w:rPr>
                                <w:b/>
                                <w:bCs/>
                                <w:sz w:val="18"/>
                                <w:szCs w:val="18"/>
                              </w:rPr>
                            </w:pPr>
                            <w:r w:rsidRPr="00585B20">
                              <w:rPr>
                                <w:b/>
                                <w:bCs/>
                                <w:sz w:val="18"/>
                                <w:szCs w:val="18"/>
                              </w:rPr>
                              <w:t xml:space="preserve"> Follow up of Previous Abnormal        Cervical Screening </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If a women’s previous cervical screening test has   produced a High Risk HPV DNA ‘DETECTED’ result and the recommendation was for follow up testing, this should be clearly stated on the pathology request form.</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test, follow up of previous abnormal result”.</w:t>
                            </w:r>
                          </w:p>
                          <w:p w:rsidR="00585B20" w:rsidRPr="00585B20" w:rsidRDefault="00585B20" w:rsidP="00585B20">
                            <w:pPr>
                              <w:pStyle w:val="Factsheet-header"/>
                              <w:widowControl w:val="0"/>
                              <w:spacing w:after="0" w:line="240" w:lineRule="auto"/>
                              <w:rPr>
                                <w:rFonts w:ascii="Calibri" w:hAnsi="Calibri"/>
                                <w:b/>
                                <w:bCs/>
                                <w:sz w:val="18"/>
                                <w:szCs w:val="18"/>
                                <w:u w:val="single"/>
                              </w:rPr>
                            </w:pPr>
                          </w:p>
                          <w:p w:rsidR="00585B20" w:rsidRPr="00585B20" w:rsidRDefault="00585B20" w:rsidP="00585B20">
                            <w:pPr>
                              <w:pStyle w:val="Factsheet-header"/>
                              <w:spacing w:after="0" w:line="240" w:lineRule="auto"/>
                              <w:rPr>
                                <w:b/>
                                <w:bCs/>
                                <w:sz w:val="18"/>
                                <w:szCs w:val="18"/>
                              </w:rPr>
                            </w:pPr>
                            <w:r w:rsidRPr="00585B20">
                              <w:rPr>
                                <w:b/>
                                <w:bCs/>
                                <w:sz w:val="18"/>
                                <w:szCs w:val="18"/>
                              </w:rPr>
                              <w:t>Test of Cure</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 xml:space="preserve">Women who have had a previously treated high grade squamous intraepithelial lesion (HSIL of CIN2/3) will require two consecutive tests where High Risk HPV DNA is ‘NOT DETECTED’ and liquid-based cytology tests are negative 12 months apart, before they are considered to be cured. The patient can then return to a routine screening interval of 5 years. </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Test of Cure”.</w:t>
                            </w:r>
                          </w:p>
                          <w:p w:rsidR="00585B20" w:rsidRPr="00585B20" w:rsidRDefault="00585B20" w:rsidP="00585B20">
                            <w:pPr>
                              <w:pStyle w:val="Factsheet-header"/>
                              <w:widowControl w:val="0"/>
                              <w:spacing w:after="0" w:line="240" w:lineRule="auto"/>
                              <w:rPr>
                                <w:rFonts w:ascii="Calibri" w:hAnsi="Calibri"/>
                                <w:sz w:val="18"/>
                                <w:szCs w:val="18"/>
                              </w:rPr>
                            </w:pPr>
                          </w:p>
                          <w:p w:rsidR="00585B20" w:rsidRPr="002047E0" w:rsidRDefault="00585B20" w:rsidP="00585B20">
                            <w:pPr>
                              <w:pStyle w:val="Factsheet-header"/>
                              <w:widowControl w:val="0"/>
                              <w:spacing w:after="0"/>
                              <w:rPr>
                                <w:rFonts w:ascii="Calibri" w:hAnsi="Calibri"/>
                                <w:b/>
                                <w:bCs/>
                                <w:sz w:val="20"/>
                                <w:u w:val="single"/>
                              </w:rPr>
                            </w:pPr>
                          </w:p>
                          <w:p w:rsidR="00585B20" w:rsidRDefault="00585B20" w:rsidP="00585B20">
                            <w:pPr>
                              <w:pStyle w:val="Factsheet-header"/>
                              <w:widowControl w:val="0"/>
                              <w:spacing w:after="0"/>
                              <w:rPr>
                                <w:rFonts w:ascii="Calibri" w:hAnsi="Calibri"/>
                                <w:b/>
                                <w:bCs/>
                                <w:sz w:val="20"/>
                                <w:u w:val="single"/>
                              </w:rPr>
                            </w:pPr>
                          </w:p>
                          <w:p w:rsidR="00585B20" w:rsidRPr="002047E0" w:rsidRDefault="00585B20" w:rsidP="00585B20">
                            <w:pPr>
                              <w:pStyle w:val="Factsheet-header"/>
                              <w:widowControl w:val="0"/>
                              <w:spacing w:after="0"/>
                              <w:rPr>
                                <w:rFonts w:ascii="Calibri" w:hAnsi="Calibri"/>
                                <w:b/>
                                <w:bCs/>
                                <w:sz w:val="20"/>
                                <w:u w:val="single"/>
                              </w:rPr>
                            </w:pPr>
                          </w:p>
                          <w:p w:rsidR="00585B20" w:rsidRDefault="00585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9pt;margin-top:14.95pt;width:192pt;height:5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">
                <v:textbox>
                  <w:txbxContent>
                    <w:p w:rsidR="00585B20" w:rsidRPr="00585B20" w:rsidRDefault="00585B20" w:rsidP="00585B20">
                      <w:pPr>
                        <w:pStyle w:val="Factsheet-header"/>
                        <w:spacing w:after="0" w:line="240" w:lineRule="auto"/>
                        <w:rPr>
                          <w:b/>
                          <w:bCs/>
                          <w:sz w:val="18"/>
                          <w:szCs w:val="18"/>
                        </w:rPr>
                      </w:pPr>
                      <w:r w:rsidRPr="00585B20">
                        <w:rPr>
                          <w:b/>
                          <w:bCs/>
                          <w:sz w:val="18"/>
                          <w:szCs w:val="18"/>
                        </w:rPr>
                        <w:t>Asymptomatic Patients – Women Over 25 Years of Age</w:t>
                      </w:r>
                    </w:p>
                    <w:p w:rsidR="00585B20" w:rsidRPr="00585B20" w:rsidRDefault="00585B20" w:rsidP="00585B20">
                      <w:pPr>
                        <w:pStyle w:val="Factsheet-header"/>
                        <w:spacing w:after="0" w:line="240" w:lineRule="auto"/>
                        <w:rPr>
                          <w:rFonts w:ascii="Calibri" w:hAnsi="Calibri"/>
                          <w:bCs/>
                          <w:sz w:val="18"/>
                          <w:szCs w:val="18"/>
                        </w:rPr>
                      </w:pPr>
                    </w:p>
                    <w:p w:rsidR="00585B20" w:rsidRPr="00585B20" w:rsidRDefault="00585B20" w:rsidP="00585B20">
                      <w:pPr>
                        <w:widowControl w:val="0"/>
                        <w:spacing w:line="240" w:lineRule="auto"/>
                        <w:rPr>
                          <w:sz w:val="18"/>
                          <w:szCs w:val="18"/>
                        </w:rPr>
                      </w:pPr>
                      <w:r w:rsidRPr="00585B20">
                        <w:rPr>
                          <w:sz w:val="18"/>
                          <w:szCs w:val="18"/>
                        </w:rPr>
                        <w:t>Most of your patients will have no significant         previous history or symptoms. These women, who are over 25, will receive a postal invitation from the National Cancer Screening Register (NCSR) for a routine cervical screening test every five years.</w:t>
                      </w:r>
                    </w:p>
                    <w:p w:rsidR="00585B20" w:rsidRPr="00585B20" w:rsidRDefault="00585B20" w:rsidP="00585B20">
                      <w:pPr>
                        <w:widowControl w:val="0"/>
                        <w:spacing w:line="240" w:lineRule="auto"/>
                        <w:rPr>
                          <w:b/>
                          <w:bCs/>
                          <w:sz w:val="18"/>
                          <w:szCs w:val="18"/>
                          <w:u w:val="single"/>
                        </w:rPr>
                      </w:pPr>
                      <w:bookmarkStart w:id="1" w:name="_GoBack"/>
                      <w:bookmarkEnd w:id="1"/>
                      <w:r w:rsidRPr="00585B20">
                        <w:rPr>
                          <w:b/>
                          <w:bCs/>
                          <w:sz w:val="18"/>
                          <w:szCs w:val="18"/>
                          <w:u w:val="single"/>
                        </w:rPr>
                        <w:t>The Pathology Request Form for These Women Should State “Routine – Cervical Screening Test”.</w:t>
                      </w:r>
                    </w:p>
                    <w:p w:rsidR="00585B20" w:rsidRPr="00585B20" w:rsidRDefault="00585B20" w:rsidP="00585B20">
                      <w:pPr>
                        <w:widowControl w:val="0"/>
                        <w:spacing w:line="240" w:lineRule="auto"/>
                        <w:rPr>
                          <w:sz w:val="18"/>
                          <w:szCs w:val="18"/>
                        </w:rPr>
                      </w:pPr>
                      <w:r w:rsidRPr="00585B20">
                        <w:rPr>
                          <w:sz w:val="18"/>
                          <w:szCs w:val="18"/>
                        </w:rPr>
                        <w:t>The laboratory will do HPV testing and/or liquid based cytology as appropriate.</w:t>
                      </w:r>
                    </w:p>
                    <w:p w:rsidR="00585B20" w:rsidRPr="00585B20" w:rsidRDefault="00585B20" w:rsidP="00585B20">
                      <w:pPr>
                        <w:pStyle w:val="Factsheet-header"/>
                        <w:spacing w:after="0" w:line="240" w:lineRule="auto"/>
                        <w:rPr>
                          <w:b/>
                          <w:bCs/>
                          <w:sz w:val="18"/>
                          <w:szCs w:val="18"/>
                        </w:rPr>
                      </w:pPr>
                      <w:r w:rsidRPr="00585B20">
                        <w:rPr>
                          <w:rFonts w:ascii="Calibri" w:hAnsi="Calibri"/>
                          <w:sz w:val="18"/>
                          <w:szCs w:val="18"/>
                        </w:rPr>
                        <w:t> </w:t>
                      </w:r>
                      <w:r w:rsidRPr="00585B20">
                        <w:rPr>
                          <w:b/>
                          <w:bCs/>
                          <w:sz w:val="18"/>
                          <w:szCs w:val="18"/>
                        </w:rPr>
                        <w:t>Symptomatic Patients</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Women of any age who are symptomatic (e.g. post-menopausal bleeding) may require HPV and liquid-based cytology performed on their specimen i.e. Co-testing.</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Symptomatic”.</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A description of the relevant symptoms should also be added.</w:t>
                      </w:r>
                    </w:p>
                    <w:p w:rsidR="00585B20" w:rsidRPr="00585B20" w:rsidRDefault="00585B20" w:rsidP="00585B20">
                      <w:pPr>
                        <w:pStyle w:val="Factsheet-header"/>
                        <w:widowControl w:val="0"/>
                        <w:spacing w:after="0" w:line="240" w:lineRule="auto"/>
                        <w:rPr>
                          <w:rFonts w:ascii="Calibri" w:hAnsi="Calibri"/>
                          <w:sz w:val="18"/>
                          <w:szCs w:val="18"/>
                        </w:rPr>
                      </w:pPr>
                    </w:p>
                    <w:p w:rsidR="00585B20" w:rsidRPr="00585B20" w:rsidRDefault="00585B20" w:rsidP="00585B20">
                      <w:pPr>
                        <w:pStyle w:val="Factsheet-header"/>
                        <w:widowControl w:val="0"/>
                        <w:spacing w:after="0" w:line="240" w:lineRule="auto"/>
                        <w:rPr>
                          <w:b/>
                          <w:bCs/>
                          <w:sz w:val="18"/>
                          <w:szCs w:val="18"/>
                        </w:rPr>
                      </w:pPr>
                      <w:r w:rsidRPr="00585B20">
                        <w:rPr>
                          <w:b/>
                          <w:bCs/>
                          <w:sz w:val="18"/>
                          <w:szCs w:val="18"/>
                        </w:rPr>
                        <w:t xml:space="preserve"> Follow up of Previous Abnormal        Cervical Screening </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If a women’s previous cervical screening test has   produced a High Risk HPV DNA ‘DETECTED’ result and the recommendation was for follow up testing, this should be clearly stated on the pathology request form.</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test, follow up of previous abnormal result”.</w:t>
                      </w:r>
                    </w:p>
                    <w:p w:rsidR="00585B20" w:rsidRPr="00585B20" w:rsidRDefault="00585B20" w:rsidP="00585B20">
                      <w:pPr>
                        <w:pStyle w:val="Factsheet-header"/>
                        <w:widowControl w:val="0"/>
                        <w:spacing w:after="0" w:line="240" w:lineRule="auto"/>
                        <w:rPr>
                          <w:rFonts w:ascii="Calibri" w:hAnsi="Calibri"/>
                          <w:b/>
                          <w:bCs/>
                          <w:sz w:val="18"/>
                          <w:szCs w:val="18"/>
                          <w:u w:val="single"/>
                        </w:rPr>
                      </w:pPr>
                    </w:p>
                    <w:p w:rsidR="00585B20" w:rsidRPr="00585B20" w:rsidRDefault="00585B20" w:rsidP="00585B20">
                      <w:pPr>
                        <w:pStyle w:val="Factsheet-header"/>
                        <w:spacing w:after="0" w:line="240" w:lineRule="auto"/>
                        <w:rPr>
                          <w:b/>
                          <w:bCs/>
                          <w:sz w:val="18"/>
                          <w:szCs w:val="18"/>
                        </w:rPr>
                      </w:pPr>
                      <w:r w:rsidRPr="00585B20">
                        <w:rPr>
                          <w:b/>
                          <w:bCs/>
                          <w:sz w:val="18"/>
                          <w:szCs w:val="18"/>
                        </w:rPr>
                        <w:t>Test of Cure</w:t>
                      </w:r>
                    </w:p>
                    <w:p w:rsidR="00585B20" w:rsidRPr="00585B20" w:rsidRDefault="00585B20" w:rsidP="00585B20">
                      <w:pPr>
                        <w:pStyle w:val="Factsheet-header"/>
                        <w:widowControl w:val="0"/>
                        <w:spacing w:after="0" w:line="240" w:lineRule="auto"/>
                        <w:rPr>
                          <w:rFonts w:ascii="Calibri" w:hAnsi="Calibri"/>
                          <w:sz w:val="18"/>
                          <w:szCs w:val="18"/>
                        </w:rPr>
                      </w:pPr>
                      <w:r w:rsidRPr="00585B20">
                        <w:rPr>
                          <w:rFonts w:ascii="Calibri" w:hAnsi="Calibri"/>
                          <w:sz w:val="18"/>
                          <w:szCs w:val="18"/>
                        </w:rPr>
                        <w:t xml:space="preserve">Women who have had a previously treated high grade squamous intraepithelial lesion (HSIL of CIN2/3) will require two consecutive tests where High Risk HPV DNA is ‘NOT DETECTED’ and liquid-based cytology tests are negative 12 months apart, before they are considered to be cured. The patient can then return to a routine screening interval of 5 years. </w:t>
                      </w:r>
                    </w:p>
                    <w:p w:rsidR="00585B20" w:rsidRPr="00585B20" w:rsidRDefault="00585B20" w:rsidP="00585B20">
                      <w:pPr>
                        <w:pStyle w:val="Factsheet-header"/>
                        <w:widowControl w:val="0"/>
                        <w:spacing w:after="0" w:line="240" w:lineRule="auto"/>
                        <w:rPr>
                          <w:rFonts w:ascii="Calibri" w:hAnsi="Calibri"/>
                          <w:b/>
                          <w:bCs/>
                          <w:sz w:val="18"/>
                          <w:szCs w:val="18"/>
                          <w:u w:val="single"/>
                        </w:rPr>
                      </w:pPr>
                      <w:r w:rsidRPr="00585B20">
                        <w:rPr>
                          <w:rFonts w:ascii="Calibri" w:hAnsi="Calibri"/>
                          <w:b/>
                          <w:bCs/>
                          <w:sz w:val="18"/>
                          <w:szCs w:val="18"/>
                          <w:u w:val="single"/>
                        </w:rPr>
                        <w:t>The pathology request form for these women should state “Cervical co-test – Test of Cure”.</w:t>
                      </w:r>
                    </w:p>
                    <w:p w:rsidR="00585B20" w:rsidRPr="00585B20" w:rsidRDefault="00585B20" w:rsidP="00585B20">
                      <w:pPr>
                        <w:pStyle w:val="Factsheet-header"/>
                        <w:widowControl w:val="0"/>
                        <w:spacing w:after="0" w:line="240" w:lineRule="auto"/>
                        <w:rPr>
                          <w:rFonts w:ascii="Calibri" w:hAnsi="Calibri"/>
                          <w:sz w:val="18"/>
                          <w:szCs w:val="18"/>
                        </w:rPr>
                      </w:pPr>
                    </w:p>
                    <w:p w:rsidR="00585B20" w:rsidRPr="002047E0" w:rsidRDefault="00585B20" w:rsidP="00585B20">
                      <w:pPr>
                        <w:pStyle w:val="Factsheet-header"/>
                        <w:widowControl w:val="0"/>
                        <w:spacing w:after="0"/>
                        <w:rPr>
                          <w:rFonts w:ascii="Calibri" w:hAnsi="Calibri"/>
                          <w:b/>
                          <w:bCs/>
                          <w:sz w:val="20"/>
                          <w:u w:val="single"/>
                        </w:rPr>
                      </w:pPr>
                    </w:p>
                    <w:p w:rsidR="00585B20" w:rsidRDefault="00585B20" w:rsidP="00585B20">
                      <w:pPr>
                        <w:pStyle w:val="Factsheet-header"/>
                        <w:widowControl w:val="0"/>
                        <w:spacing w:after="0"/>
                        <w:rPr>
                          <w:rFonts w:ascii="Calibri" w:hAnsi="Calibri"/>
                          <w:b/>
                          <w:bCs/>
                          <w:sz w:val="20"/>
                          <w:u w:val="single"/>
                        </w:rPr>
                      </w:pPr>
                    </w:p>
                    <w:p w:rsidR="00585B20" w:rsidRPr="002047E0" w:rsidRDefault="00585B20" w:rsidP="00585B20">
                      <w:pPr>
                        <w:pStyle w:val="Factsheet-header"/>
                        <w:widowControl w:val="0"/>
                        <w:spacing w:after="0"/>
                        <w:rPr>
                          <w:rFonts w:ascii="Calibri" w:hAnsi="Calibri"/>
                          <w:b/>
                          <w:bCs/>
                          <w:sz w:val="20"/>
                          <w:u w:val="single"/>
                        </w:rPr>
                      </w:pPr>
                    </w:p>
                    <w:p w:rsidR="00585B20" w:rsidRDefault="00585B20"/>
                  </w:txbxContent>
                </v:textbox>
              </v:rect>
            </w:pict>
          </mc:Fallback>
        </mc:AlternateContent>
      </w:r>
    </w:p>
    <w:p w:rsidR="000723DC" w:rsidRPr="000723DC" w:rsidRDefault="000723DC" w:rsidP="000723DC"/>
    <w:sectPr w:rsidR="000723DC" w:rsidRPr="000723DC">
      <w:headerReference w:type="default" r:id="rId9"/>
      <w:footerReference w:type="default" r:id="rId10"/>
      <w:pgSz w:w="11907" w:h="16840" w:code="9"/>
      <w:pgMar w:top="1000" w:right="1559" w:bottom="2693" w:left="1418" w:header="4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B20" w:rsidRDefault="00585B20">
      <w:r>
        <w:separator/>
      </w:r>
    </w:p>
  </w:endnote>
  <w:endnote w:type="continuationSeparator" w:id="0">
    <w:p w:rsidR="00585B20" w:rsidRDefault="0058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360" w:rsidRPr="00B66418" w:rsidRDefault="00724823" w:rsidP="00B66418">
    <w:pPr>
      <w:pStyle w:val="Factsheet-Authors"/>
      <w:ind w:right="708"/>
      <w:jc w:val="left"/>
      <w:rPr>
        <w:rFonts w:ascii="Times New Roman" w:hAnsi="Times New Roman"/>
        <w:b w:val="0"/>
        <w:sz w:val="16"/>
        <w:szCs w:val="16"/>
      </w:rPr>
    </w:pPr>
    <w:r>
      <w:rPr>
        <w:rFonts w:ascii="Times New Roman" w:hAnsi="Times New Roman"/>
        <w:b w:val="0"/>
        <w:sz w:val="16"/>
        <w:szCs w:val="16"/>
      </w:rPr>
      <w:t>A</w:t>
    </w:r>
    <w:r w:rsidR="00B274B7">
      <w:rPr>
        <w:rFonts w:ascii="Times New Roman" w:hAnsi="Times New Roman"/>
        <w:b w:val="0"/>
        <w:sz w:val="16"/>
        <w:szCs w:val="16"/>
      </w:rPr>
      <w:t>uthorised by</w:t>
    </w:r>
    <w:r w:rsidR="00763256">
      <w:rPr>
        <w:rFonts w:ascii="Times New Roman" w:hAnsi="Times New Roman"/>
        <w:b w:val="0"/>
        <w:sz w:val="16"/>
        <w:szCs w:val="16"/>
      </w:rPr>
      <w:t xml:space="preserve"> the Director of Anatomical Pathology</w:t>
    </w:r>
    <w:r>
      <w:rPr>
        <w:rFonts w:ascii="Times New Roman" w:hAnsi="Times New Roman"/>
        <w:b w:val="0"/>
        <w:sz w:val="16"/>
        <w:szCs w:val="16"/>
      </w:rPr>
      <w:tab/>
    </w:r>
    <w:r>
      <w:rPr>
        <w:rFonts w:ascii="Times New Roman" w:hAnsi="Times New Roman"/>
        <w:b w:val="0"/>
        <w:sz w:val="16"/>
        <w:szCs w:val="16"/>
      </w:rPr>
      <w:tab/>
    </w:r>
    <w:r>
      <w:rPr>
        <w:rFonts w:ascii="Times New Roman" w:hAnsi="Times New Roman"/>
        <w:b w:val="0"/>
        <w:sz w:val="16"/>
        <w:szCs w:val="16"/>
      </w:rPr>
      <w:tab/>
    </w:r>
    <w:r>
      <w:rPr>
        <w:rFonts w:ascii="Times New Roman" w:hAnsi="Times New Roman"/>
        <w:b w:val="0"/>
        <w:sz w:val="16"/>
        <w:szCs w:val="16"/>
      </w:rPr>
      <w:tab/>
      <w:t xml:space="preserve">      </w:t>
    </w:r>
    <w:r w:rsidR="004B3B90">
      <w:rPr>
        <w:rFonts w:ascii="Times New Roman" w:hAnsi="Times New Roman"/>
        <w:b w:val="0"/>
        <w:sz w:val="16"/>
        <w:szCs w:val="16"/>
      </w:rPr>
      <w:t xml:space="preserve">        Last Amended: 22</w:t>
    </w:r>
    <w:r w:rsidR="00B274B7">
      <w:rPr>
        <w:rFonts w:ascii="Times New Roman" w:hAnsi="Times New Roman"/>
        <w:b w:val="0"/>
        <w:sz w:val="16"/>
        <w:szCs w:val="16"/>
      </w:rPr>
      <w:t>/03/2019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B20" w:rsidRDefault="00585B20">
      <w:r>
        <w:separator/>
      </w:r>
    </w:p>
  </w:footnote>
  <w:footnote w:type="continuationSeparator" w:id="0">
    <w:p w:rsidR="00585B20" w:rsidRDefault="00585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360" w:rsidRPr="00B66418" w:rsidRDefault="00B274B7">
    <w:pPr>
      <w:pStyle w:val="Header"/>
      <w:ind w:right="890"/>
      <w:rPr>
        <w:sz w:val="16"/>
        <w:szCs w:val="16"/>
      </w:rPr>
    </w:pPr>
    <w:r>
      <w:rPr>
        <w:noProof/>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613650" cy="10774680"/>
          <wp:effectExtent l="0" t="0" r="6350" b="762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650" cy="1077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B90">
      <w:rPr>
        <w:sz w:val="16"/>
        <w:szCs w:val="16"/>
      </w:rPr>
      <w:t>CS</w:t>
    </w:r>
    <w:r>
      <w:rPr>
        <w:sz w:val="16"/>
        <w:szCs w:val="16"/>
      </w:rPr>
      <w:t>7.</w:t>
    </w:r>
    <w:r w:rsidR="004B3B90">
      <w:rPr>
        <w:sz w:val="16"/>
        <w:szCs w:val="16"/>
      </w:rPr>
      <w:t>0</w:t>
    </w:r>
    <w:r>
      <w:rPr>
        <w:sz w:val="16"/>
        <w:szCs w:val="16"/>
      </w:rPr>
      <w:t>53</w:t>
    </w:r>
    <w:r w:rsidR="00724823">
      <w:rPr>
        <w:sz w:val="16"/>
        <w:szCs w:val="16"/>
      </w:rPr>
      <w:t xml:space="preserve">/Edition: </w:t>
    </w:r>
    <w:r w:rsidR="00CE236A">
      <w:rPr>
        <w:sz w:val="16"/>
        <w:szCs w:val="16"/>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3329D"/>
    <w:multiLevelType w:val="hybridMultilevel"/>
    <w:tmpl w:val="D0167838"/>
    <w:lvl w:ilvl="0" w:tplc="04090013">
      <w:start w:val="1"/>
      <w:numFmt w:val="upperRoman"/>
      <w:lvlText w:val="%1."/>
      <w:lvlJc w:val="right"/>
      <w:pPr>
        <w:tabs>
          <w:tab w:val="num" w:pos="180"/>
        </w:tabs>
        <w:ind w:left="180" w:hanging="18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 w15:restartNumberingAfterBreak="0">
    <w:nsid w:val="07CC4D9B"/>
    <w:multiLevelType w:val="hybridMultilevel"/>
    <w:tmpl w:val="96360D42"/>
    <w:lvl w:ilvl="0" w:tplc="16B0CC58">
      <w:start w:val="1"/>
      <w:numFmt w:val="decimal"/>
      <w:lvlText w:val="%1."/>
      <w:lvlJc w:val="left"/>
      <w:pPr>
        <w:tabs>
          <w:tab w:val="num" w:pos="720"/>
        </w:tabs>
        <w:ind w:left="720" w:hanging="720"/>
      </w:pPr>
      <w:rPr>
        <w:rFonts w:hint="default"/>
        <w:b/>
      </w:rPr>
    </w:lvl>
    <w:lvl w:ilvl="1" w:tplc="0A884262">
      <w:start w:val="1"/>
      <w:numFmt w:val="bullet"/>
      <w:pStyle w:val="Factsheet-bullet"/>
      <w:lvlText w:val=""/>
      <w:lvlJc w:val="left"/>
      <w:pPr>
        <w:tabs>
          <w:tab w:val="num" w:pos="1145"/>
        </w:tabs>
        <w:ind w:left="1145" w:hanging="425"/>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56766EF"/>
    <w:multiLevelType w:val="hybridMultilevel"/>
    <w:tmpl w:val="569C37CC"/>
    <w:lvl w:ilvl="0" w:tplc="68BA1FA6">
      <w:start w:val="6244"/>
      <w:numFmt w:val="bullet"/>
      <w:lvlText w:val=""/>
      <w:lvlJc w:val="left"/>
      <w:pPr>
        <w:tabs>
          <w:tab w:val="num" w:pos="720"/>
        </w:tabs>
        <w:ind w:left="720" w:hanging="360"/>
      </w:pPr>
      <w:rPr>
        <w:rFonts w:ascii="Symbol" w:eastAsia="Times New Roman" w:hAnsi="Symbol" w:cs="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117BCE"/>
    <w:multiLevelType w:val="hybridMultilevel"/>
    <w:tmpl w:val="278EEA10"/>
    <w:lvl w:ilvl="0" w:tplc="FDC61DB4">
      <w:start w:val="1"/>
      <w:numFmt w:val="upperRoman"/>
      <w:pStyle w:val="Factsheet-romannumbers"/>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021FC5"/>
    <w:multiLevelType w:val="hybridMultilevel"/>
    <w:tmpl w:val="DB388E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1"/>
    <w:lvlOverride w:ilvl="0">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20"/>
    <w:rsid w:val="000252DB"/>
    <w:rsid w:val="000723DC"/>
    <w:rsid w:val="000907F2"/>
    <w:rsid w:val="00146281"/>
    <w:rsid w:val="00292516"/>
    <w:rsid w:val="0049344D"/>
    <w:rsid w:val="004B3B90"/>
    <w:rsid w:val="00585B20"/>
    <w:rsid w:val="005B56C4"/>
    <w:rsid w:val="00620354"/>
    <w:rsid w:val="006C3B31"/>
    <w:rsid w:val="00724823"/>
    <w:rsid w:val="00763256"/>
    <w:rsid w:val="008D44B1"/>
    <w:rsid w:val="009117C4"/>
    <w:rsid w:val="009F06CA"/>
    <w:rsid w:val="00B274B7"/>
    <w:rsid w:val="00B31F3C"/>
    <w:rsid w:val="00B66418"/>
    <w:rsid w:val="00BA0EAB"/>
    <w:rsid w:val="00BD15CC"/>
    <w:rsid w:val="00BF7A1A"/>
    <w:rsid w:val="00C4428A"/>
    <w:rsid w:val="00C81744"/>
    <w:rsid w:val="00C92373"/>
    <w:rsid w:val="00CE236A"/>
    <w:rsid w:val="00D15B26"/>
    <w:rsid w:val="00E170C8"/>
    <w:rsid w:val="00E220D2"/>
    <w:rsid w:val="00E46013"/>
    <w:rsid w:val="00EF6BC3"/>
    <w:rsid w:val="00F140DF"/>
    <w:rsid w:val="00F95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9124C4AE-BB41-4D03-B5D8-2DA893993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B20"/>
    <w:pPr>
      <w:spacing w:after="120" w:line="285" w:lineRule="auto"/>
    </w:pPr>
    <w:rPr>
      <w:rFonts w:ascii="Calibri" w:hAnsi="Calibri"/>
      <w:color w:val="000000"/>
      <w:kern w:val="28"/>
    </w:rPr>
  </w:style>
  <w:style w:type="paragraph" w:styleId="Heading2">
    <w:name w:val="heading 2"/>
    <w:basedOn w:val="Normal"/>
    <w:next w:val="Normal"/>
    <w:qFormat/>
    <w:pPr>
      <w:keepNext/>
      <w:spacing w:before="300" w:after="180" w:line="360" w:lineRule="exact"/>
      <w:outlineLvl w:val="1"/>
    </w:pPr>
    <w:rPr>
      <w:rFonts w:ascii="Garamond" w:hAnsi="Garamond" w:cs="Arial"/>
      <w:b/>
      <w:bCs/>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PlainText">
    <w:name w:val="Plain Text"/>
    <w:basedOn w:val="Normal"/>
    <w:rPr>
      <w:rFonts w:ascii="Courier New" w:hAnsi="Courier New" w:cs="Courier New"/>
    </w:rPr>
  </w:style>
  <w:style w:type="paragraph" w:customStyle="1" w:styleId="Factsheet-bodytext">
    <w:name w:val="Factsheet-body text"/>
    <w:basedOn w:val="Normal"/>
    <w:pPr>
      <w:spacing w:before="100" w:beforeAutospacing="1" w:after="240"/>
    </w:pPr>
    <w:rPr>
      <w:rFonts w:ascii="Arial" w:hAnsi="Arial"/>
    </w:rPr>
  </w:style>
  <w:style w:type="paragraph" w:customStyle="1" w:styleId="Factsheet-header">
    <w:name w:val="Factsheet-header"/>
    <w:basedOn w:val="Factsheet-bodytext"/>
    <w:pPr>
      <w:spacing w:before="0" w:beforeAutospacing="0" w:line="480" w:lineRule="auto"/>
    </w:pPr>
    <w:rPr>
      <w:rFonts w:ascii="Arial Black" w:hAnsi="Arial Black"/>
      <w:sz w:val="40"/>
    </w:rPr>
  </w:style>
  <w:style w:type="paragraph" w:customStyle="1" w:styleId="Factsheet-subheader">
    <w:name w:val="Factsheet-subheader"/>
    <w:basedOn w:val="Factsheet-bodytext"/>
    <w:autoRedefine/>
    <w:pPr>
      <w:spacing w:before="240" w:beforeAutospacing="0" w:after="0"/>
    </w:pPr>
    <w:rPr>
      <w:rFonts w:ascii="Arial Black" w:eastAsia="MS Mincho" w:hAnsi="Arial Black"/>
    </w:rPr>
  </w:style>
  <w:style w:type="paragraph" w:styleId="BodyText">
    <w:name w:val="Body Text"/>
    <w:basedOn w:val="Normal"/>
    <w:pPr>
      <w:spacing w:before="180" w:line="300" w:lineRule="exact"/>
    </w:pPr>
    <w:rPr>
      <w:rFonts w:ascii="Garamond" w:hAnsi="Garamond"/>
      <w:sz w:val="22"/>
      <w:szCs w:val="24"/>
      <w:lang w:val="en-US"/>
    </w:rPr>
  </w:style>
  <w:style w:type="paragraph" w:customStyle="1" w:styleId="Factsheet-Italicheader">
    <w:name w:val="Factsheet-Italic header"/>
    <w:basedOn w:val="Factsheet-bodytext"/>
    <w:autoRedefine/>
    <w:pPr>
      <w:spacing w:after="0"/>
    </w:pPr>
    <w:rPr>
      <w:rFonts w:eastAsia="MS Mincho"/>
      <w:b/>
      <w:i/>
    </w:rPr>
  </w:style>
  <w:style w:type="paragraph" w:customStyle="1" w:styleId="Style1">
    <w:name w:val="Style1"/>
    <w:basedOn w:val="Factsheet-subheader"/>
  </w:style>
  <w:style w:type="paragraph" w:customStyle="1" w:styleId="boxes">
    <w:name w:val="boxes"/>
    <w:basedOn w:val="Normal"/>
    <w:pPr>
      <w:spacing w:before="40" w:after="40" w:line="220" w:lineRule="exact"/>
    </w:pPr>
    <w:rPr>
      <w:rFonts w:ascii="Arial Narrow" w:hAnsi="Arial Narrow"/>
      <w:sz w:val="18"/>
      <w:szCs w:val="24"/>
      <w:lang w:val="en-US"/>
    </w:rPr>
  </w:style>
  <w:style w:type="paragraph" w:customStyle="1" w:styleId="Heading2topofpage">
    <w:name w:val="Heading 2 (top of page)"/>
    <w:basedOn w:val="Heading2"/>
    <w:pPr>
      <w:spacing w:before="40"/>
    </w:pPr>
  </w:style>
  <w:style w:type="paragraph" w:customStyle="1" w:styleId="dotlistendwithspace">
    <w:name w:val="dot list end with space"/>
    <w:basedOn w:val="Normal"/>
  </w:style>
  <w:style w:type="paragraph" w:customStyle="1" w:styleId="factsheet-dotpoint">
    <w:name w:val="factsheet-dot point"/>
    <w:basedOn w:val="Factsheet-bodytext"/>
  </w:style>
  <w:style w:type="paragraph" w:styleId="Title">
    <w:name w:val="Title"/>
    <w:basedOn w:val="Normal"/>
    <w:next w:val="Normal"/>
    <w:link w:val="TitleChar"/>
    <w:qFormat/>
    <w:rsid w:val="000723DC"/>
    <w:pPr>
      <w:spacing w:before="240" w:after="60"/>
      <w:jc w:val="center"/>
      <w:outlineLvl w:val="0"/>
    </w:pPr>
    <w:rPr>
      <w:rFonts w:ascii="Calibri Light" w:hAnsi="Calibri Light"/>
      <w:b/>
      <w:bCs/>
      <w:sz w:val="32"/>
      <w:szCs w:val="32"/>
    </w:rPr>
  </w:style>
  <w:style w:type="paragraph" w:customStyle="1" w:styleId="Style2">
    <w:name w:val="Style2"/>
    <w:basedOn w:val="Factsheet-bodytext"/>
    <w:pPr>
      <w:spacing w:after="120"/>
    </w:pPr>
    <w:rPr>
      <w:rFonts w:cs="Arial"/>
    </w:rPr>
  </w:style>
  <w:style w:type="paragraph" w:customStyle="1" w:styleId="Factsheet-bullet">
    <w:name w:val="Factsheet- bullet"/>
    <w:basedOn w:val="Factsheet-bodytext"/>
    <w:pPr>
      <w:numPr>
        <w:ilvl w:val="1"/>
        <w:numId w:val="3"/>
      </w:numPr>
      <w:spacing w:after="120"/>
    </w:pPr>
  </w:style>
  <w:style w:type="paragraph" w:customStyle="1" w:styleId="Factsheet-Authors">
    <w:name w:val="Factsheet-Authors"/>
    <w:basedOn w:val="Factsheet-bodytext"/>
    <w:pPr>
      <w:spacing w:before="0" w:beforeAutospacing="0"/>
      <w:jc w:val="right"/>
    </w:pPr>
    <w:rPr>
      <w:rFonts w:ascii="Arial Narrow" w:hAnsi="Arial Narrow"/>
      <w:b/>
    </w:rPr>
  </w:style>
  <w:style w:type="paragraph" w:customStyle="1" w:styleId="Factsheet-romannumbers">
    <w:name w:val="Factsheet-roman numbers"/>
    <w:basedOn w:val="factsheet-dotpoint"/>
    <w:pPr>
      <w:numPr>
        <w:numId w:val="6"/>
      </w:numPr>
      <w:tabs>
        <w:tab w:val="clear" w:pos="720"/>
        <w:tab w:val="num" w:pos="1200"/>
      </w:tabs>
      <w:spacing w:after="120"/>
      <w:ind w:left="1200" w:hanging="360"/>
    </w:pPr>
  </w:style>
  <w:style w:type="character" w:customStyle="1" w:styleId="TitleChar">
    <w:name w:val="Title Char"/>
    <w:link w:val="Title"/>
    <w:rsid w:val="000723DC"/>
    <w:rPr>
      <w:rFonts w:ascii="Calibri Light" w:eastAsia="Times New Roman" w:hAnsi="Calibri Light"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ommon\Templates\ACT%20Pathology\Factshee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Factsheet Template</Template>
  <TotalTime>2</TotalTime>
  <Pages>1</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fact sheet</vt:lpstr>
    </vt:vector>
  </TitlesOfParts>
  <Company>ACT Government</Company>
  <LinksUpToDate>false</LinksUpToDate>
  <CharactersWithSpaces>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
  <dc:creator>ellieron sarili</dc:creator>
  <cp:keywords/>
  <dc:description/>
  <cp:lastModifiedBy>Hegarty, Julie (Health)</cp:lastModifiedBy>
  <cp:revision>5</cp:revision>
  <cp:lastPrinted>2004-02-09T20:58:00Z</cp:lastPrinted>
  <dcterms:created xsi:type="dcterms:W3CDTF">2019-03-22T03:02:00Z</dcterms:created>
  <dcterms:modified xsi:type="dcterms:W3CDTF">2019-03-22T03:11:00Z</dcterms:modified>
</cp:coreProperties>
</file>