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A29A1" w14:textId="77777777" w:rsidR="007A494D" w:rsidRPr="00EF02B0" w:rsidRDefault="007A494D" w:rsidP="007A494D">
      <w:pPr>
        <w:outlineLvl w:val="0"/>
        <w:rPr>
          <w:rFonts w:cs="Arial"/>
          <w:b/>
          <w:sz w:val="44"/>
          <w:szCs w:val="44"/>
        </w:rPr>
      </w:pPr>
      <w:bookmarkStart w:id="0" w:name="_Toc389131241"/>
      <w:bookmarkStart w:id="1" w:name="_Toc389473036"/>
      <w:bookmarkStart w:id="2" w:name="_Toc389473185"/>
      <w:bookmarkStart w:id="3" w:name="_Toc389473272"/>
      <w:bookmarkStart w:id="4" w:name="_Toc392770343"/>
      <w:bookmarkStart w:id="5" w:name="_Section_4_–"/>
      <w:bookmarkEnd w:id="0"/>
      <w:bookmarkEnd w:id="1"/>
      <w:bookmarkEnd w:id="2"/>
      <w:bookmarkEnd w:id="3"/>
      <w:bookmarkEnd w:id="4"/>
      <w:bookmarkEnd w:id="5"/>
      <w:r w:rsidRPr="00EF02B0">
        <w:rPr>
          <w:rFonts w:cs="Arial"/>
          <w:b/>
          <w:sz w:val="44"/>
          <w:szCs w:val="44"/>
        </w:rPr>
        <w:t>Canberra Hospital and Health Services</w:t>
      </w:r>
    </w:p>
    <w:p w14:paraId="138BF522" w14:textId="77777777" w:rsidR="007A494D" w:rsidRPr="00931B93" w:rsidRDefault="007A494D" w:rsidP="007A494D">
      <w:pPr>
        <w:rPr>
          <w:rFonts w:cs="Arial"/>
          <w:b/>
          <w:i/>
          <w:sz w:val="28"/>
          <w:szCs w:val="44"/>
        </w:rPr>
      </w:pPr>
      <w:r w:rsidRPr="00EF02B0">
        <w:rPr>
          <w:rFonts w:cs="Arial"/>
          <w:b/>
          <w:sz w:val="44"/>
          <w:szCs w:val="44"/>
        </w:rPr>
        <w:t>Clinical</w:t>
      </w:r>
      <w:r w:rsidRPr="00EF02B0">
        <w:rPr>
          <w:rFonts w:cs="Arial"/>
          <w:b/>
          <w:i/>
          <w:sz w:val="44"/>
          <w:szCs w:val="44"/>
        </w:rPr>
        <w:t xml:space="preserve"> </w:t>
      </w:r>
      <w:r w:rsidRPr="00EF02B0">
        <w:rPr>
          <w:rFonts w:cs="Arial"/>
          <w:b/>
          <w:sz w:val="44"/>
          <w:szCs w:val="44"/>
        </w:rPr>
        <w:t>Procedure</w:t>
      </w:r>
      <w:r>
        <w:rPr>
          <w:rFonts w:cs="Arial"/>
          <w:b/>
          <w:sz w:val="44"/>
          <w:szCs w:val="44"/>
        </w:rPr>
        <w:t xml:space="preserve"> </w:t>
      </w:r>
      <w:bookmarkStart w:id="6" w:name="_GoBack"/>
      <w:bookmarkEnd w:id="6"/>
    </w:p>
    <w:p w14:paraId="7B47E58D" w14:textId="77777777" w:rsidR="007A494D" w:rsidRPr="006A3770" w:rsidRDefault="007A494D" w:rsidP="007A494D">
      <w:pPr>
        <w:rPr>
          <w:rFonts w:cs="Arial"/>
          <w:b/>
          <w:i/>
          <w:sz w:val="36"/>
          <w:szCs w:val="36"/>
        </w:rPr>
      </w:pPr>
      <w:r>
        <w:rPr>
          <w:rFonts w:cs="Arial"/>
          <w:b/>
          <w:sz w:val="36"/>
          <w:szCs w:val="36"/>
        </w:rPr>
        <w:t>Active Management of Larger (Bariatric) Adult Patients</w:t>
      </w:r>
    </w:p>
    <w:tbl>
      <w:tblPr>
        <w:tblpPr w:leftFromText="180" w:rightFromText="180" w:vertAnchor="text" w:horzAnchor="margin" w:tblpY="181"/>
        <w:tblW w:w="9158" w:type="dxa"/>
        <w:tblLook w:val="0000" w:firstRow="0" w:lastRow="0" w:firstColumn="0" w:lastColumn="0" w:noHBand="0" w:noVBand="0"/>
      </w:tblPr>
      <w:tblGrid>
        <w:gridCol w:w="9158"/>
      </w:tblGrid>
      <w:tr w:rsidR="007A494D" w:rsidRPr="00CD1C0E" w14:paraId="405D633F" w14:textId="77777777" w:rsidTr="0081235F">
        <w:trPr>
          <w:cantSplit/>
          <w:trHeight w:val="285"/>
        </w:trPr>
        <w:tc>
          <w:tcPr>
            <w:tcW w:w="9158" w:type="dxa"/>
            <w:shd w:val="clear" w:color="auto" w:fill="A6A6A6" w:themeFill="background1" w:themeFillShade="A6"/>
          </w:tcPr>
          <w:p w14:paraId="103E4803" w14:textId="77777777" w:rsidR="007A494D" w:rsidRPr="00CD1C0E" w:rsidRDefault="007A494D" w:rsidP="0081235F">
            <w:pPr>
              <w:pStyle w:val="Heading1"/>
            </w:pPr>
            <w:bookmarkStart w:id="7" w:name="_Toc389473273"/>
            <w:bookmarkStart w:id="8" w:name="Contents"/>
            <w:bookmarkStart w:id="9" w:name="_Toc509388162"/>
            <w:r w:rsidRPr="00CD1C0E">
              <w:t>Contents</w:t>
            </w:r>
            <w:bookmarkEnd w:id="7"/>
            <w:bookmarkEnd w:id="8"/>
            <w:bookmarkEnd w:id="9"/>
          </w:p>
        </w:tc>
      </w:tr>
    </w:tbl>
    <w:p w14:paraId="59B53EA7" w14:textId="77777777" w:rsidR="007A494D" w:rsidRDefault="007A494D" w:rsidP="007A494D"/>
    <w:p w14:paraId="41D88FF9" w14:textId="77777777" w:rsidR="007A494D" w:rsidRDefault="007A494D">
      <w:pPr>
        <w:pStyle w:val="TOC1"/>
        <w:tabs>
          <w:tab w:val="right" w:leader="dot" w:pos="9060"/>
        </w:tabs>
        <w:rPr>
          <w:rFonts w:eastAsiaTheme="minorEastAsia" w:cstheme="minorBidi"/>
          <w:noProof/>
          <w:sz w:val="22"/>
          <w:szCs w:val="22"/>
          <w:lang w:eastAsia="en-AU"/>
        </w:rPr>
      </w:pPr>
      <w:r>
        <w:fldChar w:fldCharType="begin"/>
      </w:r>
      <w:r>
        <w:instrText xml:space="preserve"> TOC \h \z \t "Heading 1,1,Heading 2,2" </w:instrText>
      </w:r>
      <w:r>
        <w:fldChar w:fldCharType="separate"/>
      </w:r>
      <w:hyperlink w:anchor="_Toc509388162" w:history="1">
        <w:r w:rsidRPr="00200287">
          <w:rPr>
            <w:rStyle w:val="Hyperlink"/>
            <w:noProof/>
          </w:rPr>
          <w:t>Contents</w:t>
        </w:r>
        <w:r>
          <w:rPr>
            <w:noProof/>
            <w:webHidden/>
          </w:rPr>
          <w:tab/>
        </w:r>
        <w:r>
          <w:rPr>
            <w:noProof/>
            <w:webHidden/>
          </w:rPr>
          <w:fldChar w:fldCharType="begin"/>
        </w:r>
        <w:r>
          <w:rPr>
            <w:noProof/>
            <w:webHidden/>
          </w:rPr>
          <w:instrText xml:space="preserve"> PAGEREF _Toc509388162 \h </w:instrText>
        </w:r>
        <w:r>
          <w:rPr>
            <w:noProof/>
            <w:webHidden/>
          </w:rPr>
        </w:r>
        <w:r>
          <w:rPr>
            <w:noProof/>
            <w:webHidden/>
          </w:rPr>
          <w:fldChar w:fldCharType="separate"/>
        </w:r>
        <w:r>
          <w:rPr>
            <w:noProof/>
            <w:webHidden/>
          </w:rPr>
          <w:t>1</w:t>
        </w:r>
        <w:r>
          <w:rPr>
            <w:noProof/>
            <w:webHidden/>
          </w:rPr>
          <w:fldChar w:fldCharType="end"/>
        </w:r>
      </w:hyperlink>
    </w:p>
    <w:p w14:paraId="2C180EB0" w14:textId="77777777" w:rsidR="007A494D" w:rsidRDefault="007A494D">
      <w:pPr>
        <w:pStyle w:val="TOC1"/>
        <w:tabs>
          <w:tab w:val="right" w:leader="dot" w:pos="9060"/>
        </w:tabs>
        <w:rPr>
          <w:rFonts w:eastAsiaTheme="minorEastAsia" w:cstheme="minorBidi"/>
          <w:noProof/>
          <w:sz w:val="22"/>
          <w:szCs w:val="22"/>
          <w:lang w:eastAsia="en-AU"/>
        </w:rPr>
      </w:pPr>
      <w:hyperlink w:anchor="_Toc509388163" w:history="1">
        <w:r w:rsidRPr="00200287">
          <w:rPr>
            <w:rStyle w:val="Hyperlink"/>
            <w:noProof/>
          </w:rPr>
          <w:t>Purpose</w:t>
        </w:r>
        <w:r>
          <w:rPr>
            <w:noProof/>
            <w:webHidden/>
          </w:rPr>
          <w:tab/>
        </w:r>
        <w:r>
          <w:rPr>
            <w:noProof/>
            <w:webHidden/>
          </w:rPr>
          <w:fldChar w:fldCharType="begin"/>
        </w:r>
        <w:r>
          <w:rPr>
            <w:noProof/>
            <w:webHidden/>
          </w:rPr>
          <w:instrText xml:space="preserve"> PAGEREF _Toc509388163 \h </w:instrText>
        </w:r>
        <w:r>
          <w:rPr>
            <w:noProof/>
            <w:webHidden/>
          </w:rPr>
        </w:r>
        <w:r>
          <w:rPr>
            <w:noProof/>
            <w:webHidden/>
          </w:rPr>
          <w:fldChar w:fldCharType="separate"/>
        </w:r>
        <w:r>
          <w:rPr>
            <w:noProof/>
            <w:webHidden/>
          </w:rPr>
          <w:t>3</w:t>
        </w:r>
        <w:r>
          <w:rPr>
            <w:noProof/>
            <w:webHidden/>
          </w:rPr>
          <w:fldChar w:fldCharType="end"/>
        </w:r>
      </w:hyperlink>
    </w:p>
    <w:p w14:paraId="31F83780" w14:textId="77777777" w:rsidR="007A494D" w:rsidRDefault="007A494D">
      <w:pPr>
        <w:pStyle w:val="TOC1"/>
        <w:tabs>
          <w:tab w:val="right" w:leader="dot" w:pos="9060"/>
        </w:tabs>
        <w:rPr>
          <w:rFonts w:eastAsiaTheme="minorEastAsia" w:cstheme="minorBidi"/>
          <w:noProof/>
          <w:sz w:val="22"/>
          <w:szCs w:val="22"/>
          <w:lang w:eastAsia="en-AU"/>
        </w:rPr>
      </w:pPr>
      <w:hyperlink w:anchor="_Toc509388164" w:history="1">
        <w:r w:rsidRPr="00200287">
          <w:rPr>
            <w:rStyle w:val="Hyperlink"/>
            <w:noProof/>
          </w:rPr>
          <w:t>Alerts</w:t>
        </w:r>
        <w:r>
          <w:rPr>
            <w:noProof/>
            <w:webHidden/>
          </w:rPr>
          <w:tab/>
        </w:r>
        <w:r>
          <w:rPr>
            <w:noProof/>
            <w:webHidden/>
          </w:rPr>
          <w:fldChar w:fldCharType="begin"/>
        </w:r>
        <w:r>
          <w:rPr>
            <w:noProof/>
            <w:webHidden/>
          </w:rPr>
          <w:instrText xml:space="preserve"> PAGEREF _Toc509388164 \h </w:instrText>
        </w:r>
        <w:r>
          <w:rPr>
            <w:noProof/>
            <w:webHidden/>
          </w:rPr>
        </w:r>
        <w:r>
          <w:rPr>
            <w:noProof/>
            <w:webHidden/>
          </w:rPr>
          <w:fldChar w:fldCharType="separate"/>
        </w:r>
        <w:r>
          <w:rPr>
            <w:noProof/>
            <w:webHidden/>
          </w:rPr>
          <w:t>3</w:t>
        </w:r>
        <w:r>
          <w:rPr>
            <w:noProof/>
            <w:webHidden/>
          </w:rPr>
          <w:fldChar w:fldCharType="end"/>
        </w:r>
      </w:hyperlink>
    </w:p>
    <w:p w14:paraId="1A7600DE" w14:textId="77777777" w:rsidR="007A494D" w:rsidRDefault="007A494D">
      <w:pPr>
        <w:pStyle w:val="TOC1"/>
        <w:tabs>
          <w:tab w:val="right" w:leader="dot" w:pos="9060"/>
        </w:tabs>
        <w:rPr>
          <w:rFonts w:eastAsiaTheme="minorEastAsia" w:cstheme="minorBidi"/>
          <w:noProof/>
          <w:sz w:val="22"/>
          <w:szCs w:val="22"/>
          <w:lang w:eastAsia="en-AU"/>
        </w:rPr>
      </w:pPr>
      <w:hyperlink w:anchor="_Toc509388165" w:history="1">
        <w:r w:rsidRPr="00200287">
          <w:rPr>
            <w:rStyle w:val="Hyperlink"/>
            <w:noProof/>
          </w:rPr>
          <w:t>Scope</w:t>
        </w:r>
        <w:r>
          <w:rPr>
            <w:noProof/>
            <w:webHidden/>
          </w:rPr>
          <w:tab/>
        </w:r>
        <w:r>
          <w:rPr>
            <w:noProof/>
            <w:webHidden/>
          </w:rPr>
          <w:fldChar w:fldCharType="begin"/>
        </w:r>
        <w:r>
          <w:rPr>
            <w:noProof/>
            <w:webHidden/>
          </w:rPr>
          <w:instrText xml:space="preserve"> PAGEREF _Toc509388165 \h </w:instrText>
        </w:r>
        <w:r>
          <w:rPr>
            <w:noProof/>
            <w:webHidden/>
          </w:rPr>
        </w:r>
        <w:r>
          <w:rPr>
            <w:noProof/>
            <w:webHidden/>
          </w:rPr>
          <w:fldChar w:fldCharType="separate"/>
        </w:r>
        <w:r>
          <w:rPr>
            <w:noProof/>
            <w:webHidden/>
          </w:rPr>
          <w:t>3</w:t>
        </w:r>
        <w:r>
          <w:rPr>
            <w:noProof/>
            <w:webHidden/>
          </w:rPr>
          <w:fldChar w:fldCharType="end"/>
        </w:r>
      </w:hyperlink>
    </w:p>
    <w:p w14:paraId="3C0C168C" w14:textId="77777777" w:rsidR="007A494D" w:rsidRDefault="007A494D">
      <w:pPr>
        <w:pStyle w:val="TOC1"/>
        <w:tabs>
          <w:tab w:val="right" w:leader="dot" w:pos="9060"/>
        </w:tabs>
        <w:rPr>
          <w:rFonts w:eastAsiaTheme="minorEastAsia" w:cstheme="minorBidi"/>
          <w:noProof/>
          <w:sz w:val="22"/>
          <w:szCs w:val="22"/>
          <w:lang w:eastAsia="en-AU"/>
        </w:rPr>
      </w:pPr>
      <w:hyperlink w:anchor="_Toc509388166" w:history="1">
        <w:r w:rsidRPr="00200287">
          <w:rPr>
            <w:rStyle w:val="Hyperlink"/>
            <w:noProof/>
          </w:rPr>
          <w:t>Roles and Responsibilities</w:t>
        </w:r>
        <w:r>
          <w:rPr>
            <w:noProof/>
            <w:webHidden/>
          </w:rPr>
          <w:tab/>
        </w:r>
        <w:r>
          <w:rPr>
            <w:noProof/>
            <w:webHidden/>
          </w:rPr>
          <w:fldChar w:fldCharType="begin"/>
        </w:r>
        <w:r>
          <w:rPr>
            <w:noProof/>
            <w:webHidden/>
          </w:rPr>
          <w:instrText xml:space="preserve"> PAGEREF _Toc509388166 \h </w:instrText>
        </w:r>
        <w:r>
          <w:rPr>
            <w:noProof/>
            <w:webHidden/>
          </w:rPr>
        </w:r>
        <w:r>
          <w:rPr>
            <w:noProof/>
            <w:webHidden/>
          </w:rPr>
          <w:fldChar w:fldCharType="separate"/>
        </w:r>
        <w:r>
          <w:rPr>
            <w:noProof/>
            <w:webHidden/>
          </w:rPr>
          <w:t>4</w:t>
        </w:r>
        <w:r>
          <w:rPr>
            <w:noProof/>
            <w:webHidden/>
          </w:rPr>
          <w:fldChar w:fldCharType="end"/>
        </w:r>
      </w:hyperlink>
    </w:p>
    <w:p w14:paraId="36C9C0CB" w14:textId="77777777" w:rsidR="007A494D" w:rsidRDefault="007A494D">
      <w:pPr>
        <w:pStyle w:val="TOC1"/>
        <w:tabs>
          <w:tab w:val="right" w:leader="dot" w:pos="9060"/>
        </w:tabs>
        <w:rPr>
          <w:rFonts w:eastAsiaTheme="minorEastAsia" w:cstheme="minorBidi"/>
          <w:noProof/>
          <w:sz w:val="22"/>
          <w:szCs w:val="22"/>
          <w:lang w:eastAsia="en-AU"/>
        </w:rPr>
      </w:pPr>
      <w:hyperlink w:anchor="_Toc509388167" w:history="1">
        <w:r w:rsidRPr="00200287">
          <w:rPr>
            <w:rStyle w:val="Hyperlink"/>
            <w:noProof/>
          </w:rPr>
          <w:t>Section 1 – General Care of Larger Adult Patients</w:t>
        </w:r>
        <w:r>
          <w:rPr>
            <w:noProof/>
            <w:webHidden/>
          </w:rPr>
          <w:tab/>
        </w:r>
        <w:r>
          <w:rPr>
            <w:noProof/>
            <w:webHidden/>
          </w:rPr>
          <w:fldChar w:fldCharType="begin"/>
        </w:r>
        <w:r>
          <w:rPr>
            <w:noProof/>
            <w:webHidden/>
          </w:rPr>
          <w:instrText xml:space="preserve"> PAGEREF _Toc509388167 \h </w:instrText>
        </w:r>
        <w:r>
          <w:rPr>
            <w:noProof/>
            <w:webHidden/>
          </w:rPr>
        </w:r>
        <w:r>
          <w:rPr>
            <w:noProof/>
            <w:webHidden/>
          </w:rPr>
          <w:fldChar w:fldCharType="separate"/>
        </w:r>
        <w:r>
          <w:rPr>
            <w:noProof/>
            <w:webHidden/>
          </w:rPr>
          <w:t>5</w:t>
        </w:r>
        <w:r>
          <w:rPr>
            <w:noProof/>
            <w:webHidden/>
          </w:rPr>
          <w:fldChar w:fldCharType="end"/>
        </w:r>
      </w:hyperlink>
    </w:p>
    <w:p w14:paraId="74F5ED9B" w14:textId="77777777" w:rsidR="007A494D" w:rsidRDefault="007A494D">
      <w:pPr>
        <w:pStyle w:val="TOC2"/>
        <w:tabs>
          <w:tab w:val="right" w:leader="dot" w:pos="9060"/>
        </w:tabs>
        <w:rPr>
          <w:rFonts w:eastAsiaTheme="minorEastAsia" w:cstheme="minorBidi"/>
          <w:noProof/>
          <w:sz w:val="22"/>
          <w:szCs w:val="22"/>
          <w:lang w:eastAsia="en-AU"/>
        </w:rPr>
      </w:pPr>
      <w:hyperlink w:anchor="_Toc509388168" w:history="1">
        <w:r w:rsidRPr="00200287">
          <w:rPr>
            <w:rStyle w:val="Hyperlink"/>
            <w:noProof/>
          </w:rPr>
          <w:t>1.1 Planning for admisison of a larger patient</w:t>
        </w:r>
        <w:r>
          <w:rPr>
            <w:noProof/>
            <w:webHidden/>
          </w:rPr>
          <w:tab/>
        </w:r>
        <w:r>
          <w:rPr>
            <w:noProof/>
            <w:webHidden/>
          </w:rPr>
          <w:fldChar w:fldCharType="begin"/>
        </w:r>
        <w:r>
          <w:rPr>
            <w:noProof/>
            <w:webHidden/>
          </w:rPr>
          <w:instrText xml:space="preserve"> PAGEREF _Toc509388168 \h </w:instrText>
        </w:r>
        <w:r>
          <w:rPr>
            <w:noProof/>
            <w:webHidden/>
          </w:rPr>
        </w:r>
        <w:r>
          <w:rPr>
            <w:noProof/>
            <w:webHidden/>
          </w:rPr>
          <w:fldChar w:fldCharType="separate"/>
        </w:r>
        <w:r>
          <w:rPr>
            <w:noProof/>
            <w:webHidden/>
          </w:rPr>
          <w:t>5</w:t>
        </w:r>
        <w:r>
          <w:rPr>
            <w:noProof/>
            <w:webHidden/>
          </w:rPr>
          <w:fldChar w:fldCharType="end"/>
        </w:r>
      </w:hyperlink>
    </w:p>
    <w:p w14:paraId="19A9468D" w14:textId="77777777" w:rsidR="007A494D" w:rsidRDefault="007A494D">
      <w:pPr>
        <w:pStyle w:val="TOC2"/>
        <w:tabs>
          <w:tab w:val="right" w:leader="dot" w:pos="9060"/>
        </w:tabs>
        <w:rPr>
          <w:rFonts w:eastAsiaTheme="minorEastAsia" w:cstheme="minorBidi"/>
          <w:noProof/>
          <w:sz w:val="22"/>
          <w:szCs w:val="22"/>
          <w:lang w:eastAsia="en-AU"/>
        </w:rPr>
      </w:pPr>
      <w:hyperlink w:anchor="_Toc509388169" w:history="1">
        <w:r w:rsidRPr="00200287">
          <w:rPr>
            <w:rStyle w:val="Hyperlink"/>
            <w:noProof/>
          </w:rPr>
          <w:t>1.2 Weighing of patients:</w:t>
        </w:r>
        <w:r>
          <w:rPr>
            <w:noProof/>
            <w:webHidden/>
          </w:rPr>
          <w:tab/>
        </w:r>
        <w:r>
          <w:rPr>
            <w:noProof/>
            <w:webHidden/>
          </w:rPr>
          <w:fldChar w:fldCharType="begin"/>
        </w:r>
        <w:r>
          <w:rPr>
            <w:noProof/>
            <w:webHidden/>
          </w:rPr>
          <w:instrText xml:space="preserve"> PAGEREF _Toc509388169 \h </w:instrText>
        </w:r>
        <w:r>
          <w:rPr>
            <w:noProof/>
            <w:webHidden/>
          </w:rPr>
        </w:r>
        <w:r>
          <w:rPr>
            <w:noProof/>
            <w:webHidden/>
          </w:rPr>
          <w:fldChar w:fldCharType="separate"/>
        </w:r>
        <w:r>
          <w:rPr>
            <w:noProof/>
            <w:webHidden/>
          </w:rPr>
          <w:t>5</w:t>
        </w:r>
        <w:r>
          <w:rPr>
            <w:noProof/>
            <w:webHidden/>
          </w:rPr>
          <w:fldChar w:fldCharType="end"/>
        </w:r>
      </w:hyperlink>
    </w:p>
    <w:p w14:paraId="0E0450CA" w14:textId="77777777" w:rsidR="007A494D" w:rsidRDefault="007A494D">
      <w:pPr>
        <w:pStyle w:val="TOC2"/>
        <w:tabs>
          <w:tab w:val="right" w:leader="dot" w:pos="9060"/>
        </w:tabs>
        <w:rPr>
          <w:rFonts w:eastAsiaTheme="minorEastAsia" w:cstheme="minorBidi"/>
          <w:noProof/>
          <w:sz w:val="22"/>
          <w:szCs w:val="22"/>
          <w:lang w:eastAsia="en-AU"/>
        </w:rPr>
      </w:pPr>
      <w:hyperlink w:anchor="_Toc509388170" w:history="1">
        <w:r w:rsidRPr="00200287">
          <w:rPr>
            <w:rStyle w:val="Hyperlink"/>
            <w:noProof/>
          </w:rPr>
          <w:t>1.3 Manual handling risk assessment</w:t>
        </w:r>
        <w:r>
          <w:rPr>
            <w:noProof/>
            <w:webHidden/>
          </w:rPr>
          <w:tab/>
        </w:r>
        <w:r>
          <w:rPr>
            <w:noProof/>
            <w:webHidden/>
          </w:rPr>
          <w:fldChar w:fldCharType="begin"/>
        </w:r>
        <w:r>
          <w:rPr>
            <w:noProof/>
            <w:webHidden/>
          </w:rPr>
          <w:instrText xml:space="preserve"> PAGEREF _Toc509388170 \h </w:instrText>
        </w:r>
        <w:r>
          <w:rPr>
            <w:noProof/>
            <w:webHidden/>
          </w:rPr>
        </w:r>
        <w:r>
          <w:rPr>
            <w:noProof/>
            <w:webHidden/>
          </w:rPr>
          <w:fldChar w:fldCharType="separate"/>
        </w:r>
        <w:r>
          <w:rPr>
            <w:noProof/>
            <w:webHidden/>
          </w:rPr>
          <w:t>6</w:t>
        </w:r>
        <w:r>
          <w:rPr>
            <w:noProof/>
            <w:webHidden/>
          </w:rPr>
          <w:fldChar w:fldCharType="end"/>
        </w:r>
      </w:hyperlink>
    </w:p>
    <w:p w14:paraId="569C0663" w14:textId="77777777" w:rsidR="007A494D" w:rsidRDefault="007A494D">
      <w:pPr>
        <w:pStyle w:val="TOC2"/>
        <w:tabs>
          <w:tab w:val="right" w:leader="dot" w:pos="9060"/>
        </w:tabs>
        <w:rPr>
          <w:rFonts w:eastAsiaTheme="minorEastAsia" w:cstheme="minorBidi"/>
          <w:noProof/>
          <w:sz w:val="22"/>
          <w:szCs w:val="22"/>
          <w:lang w:eastAsia="en-AU"/>
        </w:rPr>
      </w:pPr>
      <w:hyperlink w:anchor="_Toc509388171" w:history="1">
        <w:r w:rsidRPr="00200287">
          <w:rPr>
            <w:rStyle w:val="Hyperlink"/>
            <w:noProof/>
          </w:rPr>
          <w:t>1.4 Developing a plan to manage manual handling</w:t>
        </w:r>
        <w:r>
          <w:rPr>
            <w:noProof/>
            <w:webHidden/>
          </w:rPr>
          <w:tab/>
        </w:r>
        <w:r>
          <w:rPr>
            <w:noProof/>
            <w:webHidden/>
          </w:rPr>
          <w:fldChar w:fldCharType="begin"/>
        </w:r>
        <w:r>
          <w:rPr>
            <w:noProof/>
            <w:webHidden/>
          </w:rPr>
          <w:instrText xml:space="preserve"> PAGEREF _Toc509388171 \h </w:instrText>
        </w:r>
        <w:r>
          <w:rPr>
            <w:noProof/>
            <w:webHidden/>
          </w:rPr>
        </w:r>
        <w:r>
          <w:rPr>
            <w:noProof/>
            <w:webHidden/>
          </w:rPr>
          <w:fldChar w:fldCharType="separate"/>
        </w:r>
        <w:r>
          <w:rPr>
            <w:noProof/>
            <w:webHidden/>
          </w:rPr>
          <w:t>6</w:t>
        </w:r>
        <w:r>
          <w:rPr>
            <w:noProof/>
            <w:webHidden/>
          </w:rPr>
          <w:fldChar w:fldCharType="end"/>
        </w:r>
      </w:hyperlink>
    </w:p>
    <w:p w14:paraId="3AADD5DD" w14:textId="77777777" w:rsidR="007A494D" w:rsidRDefault="007A494D">
      <w:pPr>
        <w:pStyle w:val="TOC2"/>
        <w:tabs>
          <w:tab w:val="right" w:leader="dot" w:pos="9060"/>
        </w:tabs>
        <w:rPr>
          <w:rFonts w:eastAsiaTheme="minorEastAsia" w:cstheme="minorBidi"/>
          <w:noProof/>
          <w:sz w:val="22"/>
          <w:szCs w:val="22"/>
          <w:lang w:eastAsia="en-AU"/>
        </w:rPr>
      </w:pPr>
      <w:hyperlink w:anchor="_Toc509388172" w:history="1">
        <w:r w:rsidRPr="00200287">
          <w:rPr>
            <w:rStyle w:val="Hyperlink"/>
            <w:noProof/>
          </w:rPr>
          <w:t>1.5 Encouraging Mobility</w:t>
        </w:r>
        <w:r>
          <w:rPr>
            <w:noProof/>
            <w:webHidden/>
          </w:rPr>
          <w:tab/>
        </w:r>
        <w:r>
          <w:rPr>
            <w:noProof/>
            <w:webHidden/>
          </w:rPr>
          <w:fldChar w:fldCharType="begin"/>
        </w:r>
        <w:r>
          <w:rPr>
            <w:noProof/>
            <w:webHidden/>
          </w:rPr>
          <w:instrText xml:space="preserve"> PAGEREF _Toc509388172 \h </w:instrText>
        </w:r>
        <w:r>
          <w:rPr>
            <w:noProof/>
            <w:webHidden/>
          </w:rPr>
        </w:r>
        <w:r>
          <w:rPr>
            <w:noProof/>
            <w:webHidden/>
          </w:rPr>
          <w:fldChar w:fldCharType="separate"/>
        </w:r>
        <w:r>
          <w:rPr>
            <w:noProof/>
            <w:webHidden/>
          </w:rPr>
          <w:t>7</w:t>
        </w:r>
        <w:r>
          <w:rPr>
            <w:noProof/>
            <w:webHidden/>
          </w:rPr>
          <w:fldChar w:fldCharType="end"/>
        </w:r>
      </w:hyperlink>
    </w:p>
    <w:p w14:paraId="39F24738" w14:textId="77777777" w:rsidR="007A494D" w:rsidRDefault="007A494D">
      <w:pPr>
        <w:pStyle w:val="TOC2"/>
        <w:tabs>
          <w:tab w:val="right" w:leader="dot" w:pos="9060"/>
        </w:tabs>
        <w:rPr>
          <w:rFonts w:eastAsiaTheme="minorEastAsia" w:cstheme="minorBidi"/>
          <w:noProof/>
          <w:sz w:val="22"/>
          <w:szCs w:val="22"/>
          <w:lang w:eastAsia="en-AU"/>
        </w:rPr>
      </w:pPr>
      <w:hyperlink w:anchor="_Toc509388173" w:history="1">
        <w:r w:rsidRPr="00200287">
          <w:rPr>
            <w:rStyle w:val="Hyperlink"/>
            <w:noProof/>
          </w:rPr>
          <w:t>1.6 Equipment</w:t>
        </w:r>
        <w:r>
          <w:rPr>
            <w:noProof/>
            <w:webHidden/>
          </w:rPr>
          <w:tab/>
        </w:r>
        <w:r>
          <w:rPr>
            <w:noProof/>
            <w:webHidden/>
          </w:rPr>
          <w:fldChar w:fldCharType="begin"/>
        </w:r>
        <w:r>
          <w:rPr>
            <w:noProof/>
            <w:webHidden/>
          </w:rPr>
          <w:instrText xml:space="preserve"> PAGEREF _Toc509388173 \h </w:instrText>
        </w:r>
        <w:r>
          <w:rPr>
            <w:noProof/>
            <w:webHidden/>
          </w:rPr>
        </w:r>
        <w:r>
          <w:rPr>
            <w:noProof/>
            <w:webHidden/>
          </w:rPr>
          <w:fldChar w:fldCharType="separate"/>
        </w:r>
        <w:r>
          <w:rPr>
            <w:noProof/>
            <w:webHidden/>
          </w:rPr>
          <w:t>7</w:t>
        </w:r>
        <w:r>
          <w:rPr>
            <w:noProof/>
            <w:webHidden/>
          </w:rPr>
          <w:fldChar w:fldCharType="end"/>
        </w:r>
      </w:hyperlink>
    </w:p>
    <w:p w14:paraId="1EA2F135" w14:textId="77777777" w:rsidR="007A494D" w:rsidRDefault="007A494D">
      <w:pPr>
        <w:pStyle w:val="TOC2"/>
        <w:tabs>
          <w:tab w:val="right" w:leader="dot" w:pos="9060"/>
        </w:tabs>
        <w:rPr>
          <w:rFonts w:eastAsiaTheme="minorEastAsia" w:cstheme="minorBidi"/>
          <w:noProof/>
          <w:sz w:val="22"/>
          <w:szCs w:val="22"/>
          <w:lang w:eastAsia="en-AU"/>
        </w:rPr>
      </w:pPr>
      <w:hyperlink w:anchor="_Toc509388174" w:history="1">
        <w:r w:rsidRPr="00200287">
          <w:rPr>
            <w:rStyle w:val="Hyperlink"/>
            <w:noProof/>
          </w:rPr>
          <w:t>1.7 Resuscitation</w:t>
        </w:r>
        <w:r>
          <w:rPr>
            <w:noProof/>
            <w:webHidden/>
          </w:rPr>
          <w:tab/>
        </w:r>
        <w:r>
          <w:rPr>
            <w:noProof/>
            <w:webHidden/>
          </w:rPr>
          <w:fldChar w:fldCharType="begin"/>
        </w:r>
        <w:r>
          <w:rPr>
            <w:noProof/>
            <w:webHidden/>
          </w:rPr>
          <w:instrText xml:space="preserve"> PAGEREF _Toc509388174 \h </w:instrText>
        </w:r>
        <w:r>
          <w:rPr>
            <w:noProof/>
            <w:webHidden/>
          </w:rPr>
        </w:r>
        <w:r>
          <w:rPr>
            <w:noProof/>
            <w:webHidden/>
          </w:rPr>
          <w:fldChar w:fldCharType="separate"/>
        </w:r>
        <w:r>
          <w:rPr>
            <w:noProof/>
            <w:webHidden/>
          </w:rPr>
          <w:t>8</w:t>
        </w:r>
        <w:r>
          <w:rPr>
            <w:noProof/>
            <w:webHidden/>
          </w:rPr>
          <w:fldChar w:fldCharType="end"/>
        </w:r>
      </w:hyperlink>
    </w:p>
    <w:p w14:paraId="6C0C4B21" w14:textId="77777777" w:rsidR="007A494D" w:rsidRDefault="007A494D">
      <w:pPr>
        <w:pStyle w:val="TOC2"/>
        <w:tabs>
          <w:tab w:val="right" w:leader="dot" w:pos="9060"/>
        </w:tabs>
        <w:rPr>
          <w:rFonts w:eastAsiaTheme="minorEastAsia" w:cstheme="minorBidi"/>
          <w:noProof/>
          <w:sz w:val="22"/>
          <w:szCs w:val="22"/>
          <w:lang w:eastAsia="en-AU"/>
        </w:rPr>
      </w:pPr>
      <w:hyperlink w:anchor="_Toc509388175" w:history="1">
        <w:r w:rsidRPr="00200287">
          <w:rPr>
            <w:rStyle w:val="Hyperlink"/>
            <w:noProof/>
          </w:rPr>
          <w:t>1.8 Changes in care location and discharge planning</w:t>
        </w:r>
        <w:r>
          <w:rPr>
            <w:noProof/>
            <w:webHidden/>
          </w:rPr>
          <w:tab/>
        </w:r>
        <w:r>
          <w:rPr>
            <w:noProof/>
            <w:webHidden/>
          </w:rPr>
          <w:fldChar w:fldCharType="begin"/>
        </w:r>
        <w:r>
          <w:rPr>
            <w:noProof/>
            <w:webHidden/>
          </w:rPr>
          <w:instrText xml:space="preserve"> PAGEREF _Toc509388175 \h </w:instrText>
        </w:r>
        <w:r>
          <w:rPr>
            <w:noProof/>
            <w:webHidden/>
          </w:rPr>
        </w:r>
        <w:r>
          <w:rPr>
            <w:noProof/>
            <w:webHidden/>
          </w:rPr>
          <w:fldChar w:fldCharType="separate"/>
        </w:r>
        <w:r>
          <w:rPr>
            <w:noProof/>
            <w:webHidden/>
          </w:rPr>
          <w:t>8</w:t>
        </w:r>
        <w:r>
          <w:rPr>
            <w:noProof/>
            <w:webHidden/>
          </w:rPr>
          <w:fldChar w:fldCharType="end"/>
        </w:r>
      </w:hyperlink>
    </w:p>
    <w:p w14:paraId="2EAB18C4" w14:textId="77777777" w:rsidR="007A494D" w:rsidRDefault="007A494D">
      <w:pPr>
        <w:pStyle w:val="TOC1"/>
        <w:tabs>
          <w:tab w:val="right" w:leader="dot" w:pos="9060"/>
        </w:tabs>
        <w:rPr>
          <w:rFonts w:eastAsiaTheme="minorEastAsia" w:cstheme="minorBidi"/>
          <w:noProof/>
          <w:sz w:val="22"/>
          <w:szCs w:val="22"/>
          <w:lang w:eastAsia="en-AU"/>
        </w:rPr>
      </w:pPr>
      <w:hyperlink w:anchor="_Toc509388176" w:history="1">
        <w:r w:rsidRPr="00200287">
          <w:rPr>
            <w:rStyle w:val="Hyperlink"/>
            <w:noProof/>
          </w:rPr>
          <w:t>Section 2 – Other Manual Handling Needs</w:t>
        </w:r>
        <w:r>
          <w:rPr>
            <w:noProof/>
            <w:webHidden/>
          </w:rPr>
          <w:tab/>
        </w:r>
        <w:r>
          <w:rPr>
            <w:noProof/>
            <w:webHidden/>
          </w:rPr>
          <w:fldChar w:fldCharType="begin"/>
        </w:r>
        <w:r>
          <w:rPr>
            <w:noProof/>
            <w:webHidden/>
          </w:rPr>
          <w:instrText xml:space="preserve"> PAGEREF _Toc509388176 \h </w:instrText>
        </w:r>
        <w:r>
          <w:rPr>
            <w:noProof/>
            <w:webHidden/>
          </w:rPr>
        </w:r>
        <w:r>
          <w:rPr>
            <w:noProof/>
            <w:webHidden/>
          </w:rPr>
          <w:fldChar w:fldCharType="separate"/>
        </w:r>
        <w:r>
          <w:rPr>
            <w:noProof/>
            <w:webHidden/>
          </w:rPr>
          <w:t>9</w:t>
        </w:r>
        <w:r>
          <w:rPr>
            <w:noProof/>
            <w:webHidden/>
          </w:rPr>
          <w:fldChar w:fldCharType="end"/>
        </w:r>
      </w:hyperlink>
    </w:p>
    <w:p w14:paraId="74E1E0B4" w14:textId="77777777" w:rsidR="007A494D" w:rsidRDefault="007A494D">
      <w:pPr>
        <w:pStyle w:val="TOC2"/>
        <w:tabs>
          <w:tab w:val="right" w:leader="dot" w:pos="9060"/>
        </w:tabs>
        <w:rPr>
          <w:rFonts w:eastAsiaTheme="minorEastAsia" w:cstheme="minorBidi"/>
          <w:noProof/>
          <w:sz w:val="22"/>
          <w:szCs w:val="22"/>
          <w:lang w:eastAsia="en-AU"/>
        </w:rPr>
      </w:pPr>
      <w:hyperlink w:anchor="_Toc509388177" w:history="1">
        <w:r w:rsidRPr="00200287">
          <w:rPr>
            <w:rStyle w:val="Hyperlink"/>
            <w:noProof/>
          </w:rPr>
          <w:t>2.1 Transport</w:t>
        </w:r>
        <w:r>
          <w:rPr>
            <w:noProof/>
            <w:webHidden/>
          </w:rPr>
          <w:tab/>
        </w:r>
        <w:r>
          <w:rPr>
            <w:noProof/>
            <w:webHidden/>
          </w:rPr>
          <w:fldChar w:fldCharType="begin"/>
        </w:r>
        <w:r>
          <w:rPr>
            <w:noProof/>
            <w:webHidden/>
          </w:rPr>
          <w:instrText xml:space="preserve"> PAGEREF _Toc509388177 \h </w:instrText>
        </w:r>
        <w:r>
          <w:rPr>
            <w:noProof/>
            <w:webHidden/>
          </w:rPr>
        </w:r>
        <w:r>
          <w:rPr>
            <w:noProof/>
            <w:webHidden/>
          </w:rPr>
          <w:fldChar w:fldCharType="separate"/>
        </w:r>
        <w:r>
          <w:rPr>
            <w:noProof/>
            <w:webHidden/>
          </w:rPr>
          <w:t>9</w:t>
        </w:r>
        <w:r>
          <w:rPr>
            <w:noProof/>
            <w:webHidden/>
          </w:rPr>
          <w:fldChar w:fldCharType="end"/>
        </w:r>
      </w:hyperlink>
    </w:p>
    <w:p w14:paraId="187660DD" w14:textId="77777777" w:rsidR="007A494D" w:rsidRDefault="007A494D">
      <w:pPr>
        <w:pStyle w:val="TOC2"/>
        <w:tabs>
          <w:tab w:val="right" w:leader="dot" w:pos="9060"/>
        </w:tabs>
        <w:rPr>
          <w:rFonts w:eastAsiaTheme="minorEastAsia" w:cstheme="minorBidi"/>
          <w:noProof/>
          <w:sz w:val="22"/>
          <w:szCs w:val="22"/>
          <w:lang w:eastAsia="en-AU"/>
        </w:rPr>
      </w:pPr>
      <w:hyperlink w:anchor="_Toc509388178" w:history="1">
        <w:r w:rsidRPr="00200287">
          <w:rPr>
            <w:rStyle w:val="Hyperlink"/>
            <w:noProof/>
          </w:rPr>
          <w:t>2.2 Fire and other emergency evacuation</w:t>
        </w:r>
        <w:r>
          <w:rPr>
            <w:noProof/>
            <w:webHidden/>
          </w:rPr>
          <w:tab/>
        </w:r>
        <w:r>
          <w:rPr>
            <w:noProof/>
            <w:webHidden/>
          </w:rPr>
          <w:fldChar w:fldCharType="begin"/>
        </w:r>
        <w:r>
          <w:rPr>
            <w:noProof/>
            <w:webHidden/>
          </w:rPr>
          <w:instrText xml:space="preserve"> PAGEREF _Toc509388178 \h </w:instrText>
        </w:r>
        <w:r>
          <w:rPr>
            <w:noProof/>
            <w:webHidden/>
          </w:rPr>
        </w:r>
        <w:r>
          <w:rPr>
            <w:noProof/>
            <w:webHidden/>
          </w:rPr>
          <w:fldChar w:fldCharType="separate"/>
        </w:r>
        <w:r>
          <w:rPr>
            <w:noProof/>
            <w:webHidden/>
          </w:rPr>
          <w:t>9</w:t>
        </w:r>
        <w:r>
          <w:rPr>
            <w:noProof/>
            <w:webHidden/>
          </w:rPr>
          <w:fldChar w:fldCharType="end"/>
        </w:r>
      </w:hyperlink>
    </w:p>
    <w:p w14:paraId="106EC159" w14:textId="77777777" w:rsidR="007A494D" w:rsidRDefault="007A494D">
      <w:pPr>
        <w:pStyle w:val="TOC2"/>
        <w:tabs>
          <w:tab w:val="right" w:leader="dot" w:pos="9060"/>
        </w:tabs>
        <w:rPr>
          <w:rFonts w:eastAsiaTheme="minorEastAsia" w:cstheme="minorBidi"/>
          <w:noProof/>
          <w:sz w:val="22"/>
          <w:szCs w:val="22"/>
          <w:lang w:eastAsia="en-AU"/>
        </w:rPr>
      </w:pPr>
      <w:hyperlink w:anchor="_Toc509388179" w:history="1">
        <w:r w:rsidRPr="00200287">
          <w:rPr>
            <w:rStyle w:val="Hyperlink"/>
            <w:noProof/>
          </w:rPr>
          <w:t>2.3 Death of a patient at the Canberra Hospital</w:t>
        </w:r>
        <w:r>
          <w:rPr>
            <w:noProof/>
            <w:webHidden/>
          </w:rPr>
          <w:tab/>
        </w:r>
        <w:r>
          <w:rPr>
            <w:noProof/>
            <w:webHidden/>
          </w:rPr>
          <w:fldChar w:fldCharType="begin"/>
        </w:r>
        <w:r>
          <w:rPr>
            <w:noProof/>
            <w:webHidden/>
          </w:rPr>
          <w:instrText xml:space="preserve"> PAGEREF _Toc509388179 \h </w:instrText>
        </w:r>
        <w:r>
          <w:rPr>
            <w:noProof/>
            <w:webHidden/>
          </w:rPr>
        </w:r>
        <w:r>
          <w:rPr>
            <w:noProof/>
            <w:webHidden/>
          </w:rPr>
          <w:fldChar w:fldCharType="separate"/>
        </w:r>
        <w:r>
          <w:rPr>
            <w:noProof/>
            <w:webHidden/>
          </w:rPr>
          <w:t>9</w:t>
        </w:r>
        <w:r>
          <w:rPr>
            <w:noProof/>
            <w:webHidden/>
          </w:rPr>
          <w:fldChar w:fldCharType="end"/>
        </w:r>
      </w:hyperlink>
    </w:p>
    <w:p w14:paraId="03FC3C9E" w14:textId="77777777" w:rsidR="007A494D" w:rsidRDefault="007A494D">
      <w:pPr>
        <w:pStyle w:val="TOC1"/>
        <w:tabs>
          <w:tab w:val="right" w:leader="dot" w:pos="9060"/>
        </w:tabs>
        <w:rPr>
          <w:rFonts w:eastAsiaTheme="minorEastAsia" w:cstheme="minorBidi"/>
          <w:noProof/>
          <w:sz w:val="22"/>
          <w:szCs w:val="22"/>
          <w:lang w:eastAsia="en-AU"/>
        </w:rPr>
      </w:pPr>
      <w:hyperlink w:anchor="_Toc509388180" w:history="1">
        <w:r w:rsidRPr="00200287">
          <w:rPr>
            <w:rStyle w:val="Hyperlink"/>
            <w:noProof/>
          </w:rPr>
          <w:t>Section 3 – Clinical Issues Managing Class 3 Obesity (BMI≥40)</w:t>
        </w:r>
        <w:r>
          <w:rPr>
            <w:noProof/>
            <w:webHidden/>
          </w:rPr>
          <w:tab/>
        </w:r>
        <w:r>
          <w:rPr>
            <w:noProof/>
            <w:webHidden/>
          </w:rPr>
          <w:fldChar w:fldCharType="begin"/>
        </w:r>
        <w:r>
          <w:rPr>
            <w:noProof/>
            <w:webHidden/>
          </w:rPr>
          <w:instrText xml:space="preserve"> PAGEREF _Toc509388180 \h </w:instrText>
        </w:r>
        <w:r>
          <w:rPr>
            <w:noProof/>
            <w:webHidden/>
          </w:rPr>
        </w:r>
        <w:r>
          <w:rPr>
            <w:noProof/>
            <w:webHidden/>
          </w:rPr>
          <w:fldChar w:fldCharType="separate"/>
        </w:r>
        <w:r>
          <w:rPr>
            <w:noProof/>
            <w:webHidden/>
          </w:rPr>
          <w:t>10</w:t>
        </w:r>
        <w:r>
          <w:rPr>
            <w:noProof/>
            <w:webHidden/>
          </w:rPr>
          <w:fldChar w:fldCharType="end"/>
        </w:r>
      </w:hyperlink>
    </w:p>
    <w:p w14:paraId="7EAE1F3C" w14:textId="77777777" w:rsidR="007A494D" w:rsidRDefault="007A494D">
      <w:pPr>
        <w:pStyle w:val="TOC2"/>
        <w:tabs>
          <w:tab w:val="right" w:leader="dot" w:pos="9060"/>
        </w:tabs>
        <w:rPr>
          <w:rFonts w:eastAsiaTheme="minorEastAsia" w:cstheme="minorBidi"/>
          <w:noProof/>
          <w:sz w:val="22"/>
          <w:szCs w:val="22"/>
          <w:lang w:eastAsia="en-AU"/>
        </w:rPr>
      </w:pPr>
      <w:hyperlink w:anchor="_Toc509388181" w:history="1">
        <w:r w:rsidRPr="00200287">
          <w:rPr>
            <w:rStyle w:val="Hyperlink"/>
            <w:noProof/>
          </w:rPr>
          <w:t>3.1 Definition of Class 3 obesity in adults</w:t>
        </w:r>
        <w:r>
          <w:rPr>
            <w:noProof/>
            <w:webHidden/>
          </w:rPr>
          <w:tab/>
        </w:r>
        <w:r>
          <w:rPr>
            <w:noProof/>
            <w:webHidden/>
          </w:rPr>
          <w:fldChar w:fldCharType="begin"/>
        </w:r>
        <w:r>
          <w:rPr>
            <w:noProof/>
            <w:webHidden/>
          </w:rPr>
          <w:instrText xml:space="preserve"> PAGEREF _Toc509388181 \h </w:instrText>
        </w:r>
        <w:r>
          <w:rPr>
            <w:noProof/>
            <w:webHidden/>
          </w:rPr>
        </w:r>
        <w:r>
          <w:rPr>
            <w:noProof/>
            <w:webHidden/>
          </w:rPr>
          <w:fldChar w:fldCharType="separate"/>
        </w:r>
        <w:r>
          <w:rPr>
            <w:noProof/>
            <w:webHidden/>
          </w:rPr>
          <w:t>10</w:t>
        </w:r>
        <w:r>
          <w:rPr>
            <w:noProof/>
            <w:webHidden/>
          </w:rPr>
          <w:fldChar w:fldCharType="end"/>
        </w:r>
      </w:hyperlink>
    </w:p>
    <w:p w14:paraId="78F13695" w14:textId="77777777" w:rsidR="007A494D" w:rsidRDefault="007A494D">
      <w:pPr>
        <w:pStyle w:val="TOC2"/>
        <w:tabs>
          <w:tab w:val="right" w:leader="dot" w:pos="9060"/>
        </w:tabs>
        <w:rPr>
          <w:rFonts w:eastAsiaTheme="minorEastAsia" w:cstheme="minorBidi"/>
          <w:noProof/>
          <w:sz w:val="22"/>
          <w:szCs w:val="22"/>
          <w:lang w:eastAsia="en-AU"/>
        </w:rPr>
      </w:pPr>
      <w:hyperlink w:anchor="_Toc509388182" w:history="1">
        <w:r w:rsidRPr="00200287">
          <w:rPr>
            <w:rStyle w:val="Hyperlink"/>
            <w:noProof/>
          </w:rPr>
          <w:t>3.2 Documentation</w:t>
        </w:r>
        <w:r>
          <w:rPr>
            <w:noProof/>
            <w:webHidden/>
          </w:rPr>
          <w:tab/>
        </w:r>
        <w:r>
          <w:rPr>
            <w:noProof/>
            <w:webHidden/>
          </w:rPr>
          <w:fldChar w:fldCharType="begin"/>
        </w:r>
        <w:r>
          <w:rPr>
            <w:noProof/>
            <w:webHidden/>
          </w:rPr>
          <w:instrText xml:space="preserve"> PAGEREF _Toc509388182 \h </w:instrText>
        </w:r>
        <w:r>
          <w:rPr>
            <w:noProof/>
            <w:webHidden/>
          </w:rPr>
        </w:r>
        <w:r>
          <w:rPr>
            <w:noProof/>
            <w:webHidden/>
          </w:rPr>
          <w:fldChar w:fldCharType="separate"/>
        </w:r>
        <w:r>
          <w:rPr>
            <w:noProof/>
            <w:webHidden/>
          </w:rPr>
          <w:t>10</w:t>
        </w:r>
        <w:r>
          <w:rPr>
            <w:noProof/>
            <w:webHidden/>
          </w:rPr>
          <w:fldChar w:fldCharType="end"/>
        </w:r>
      </w:hyperlink>
    </w:p>
    <w:p w14:paraId="58C7E0A6" w14:textId="77777777" w:rsidR="007A494D" w:rsidRDefault="007A494D">
      <w:pPr>
        <w:pStyle w:val="TOC2"/>
        <w:tabs>
          <w:tab w:val="right" w:leader="dot" w:pos="9060"/>
        </w:tabs>
        <w:rPr>
          <w:rFonts w:eastAsiaTheme="minorEastAsia" w:cstheme="minorBidi"/>
          <w:noProof/>
          <w:sz w:val="22"/>
          <w:szCs w:val="22"/>
          <w:lang w:eastAsia="en-AU"/>
        </w:rPr>
      </w:pPr>
      <w:hyperlink w:anchor="_Toc509388183" w:history="1">
        <w:r w:rsidRPr="00200287">
          <w:rPr>
            <w:rStyle w:val="Hyperlink"/>
            <w:noProof/>
          </w:rPr>
          <w:t>3.3 Routine monitoring of BMI</w:t>
        </w:r>
        <w:r>
          <w:rPr>
            <w:noProof/>
            <w:webHidden/>
          </w:rPr>
          <w:tab/>
        </w:r>
        <w:r>
          <w:rPr>
            <w:noProof/>
            <w:webHidden/>
          </w:rPr>
          <w:fldChar w:fldCharType="begin"/>
        </w:r>
        <w:r>
          <w:rPr>
            <w:noProof/>
            <w:webHidden/>
          </w:rPr>
          <w:instrText xml:space="preserve"> PAGEREF _Toc509388183 \h </w:instrText>
        </w:r>
        <w:r>
          <w:rPr>
            <w:noProof/>
            <w:webHidden/>
          </w:rPr>
        </w:r>
        <w:r>
          <w:rPr>
            <w:noProof/>
            <w:webHidden/>
          </w:rPr>
          <w:fldChar w:fldCharType="separate"/>
        </w:r>
        <w:r>
          <w:rPr>
            <w:noProof/>
            <w:webHidden/>
          </w:rPr>
          <w:t>10</w:t>
        </w:r>
        <w:r>
          <w:rPr>
            <w:noProof/>
            <w:webHidden/>
          </w:rPr>
          <w:fldChar w:fldCharType="end"/>
        </w:r>
      </w:hyperlink>
    </w:p>
    <w:p w14:paraId="07021726" w14:textId="77777777" w:rsidR="007A494D" w:rsidRDefault="007A494D">
      <w:pPr>
        <w:pStyle w:val="TOC2"/>
        <w:tabs>
          <w:tab w:val="right" w:leader="dot" w:pos="9060"/>
        </w:tabs>
        <w:rPr>
          <w:rFonts w:eastAsiaTheme="minorEastAsia" w:cstheme="minorBidi"/>
          <w:noProof/>
          <w:sz w:val="22"/>
          <w:szCs w:val="22"/>
          <w:lang w:eastAsia="en-AU"/>
        </w:rPr>
      </w:pPr>
      <w:hyperlink w:anchor="_Toc509388184" w:history="1">
        <w:r w:rsidRPr="00200287">
          <w:rPr>
            <w:rStyle w:val="Hyperlink"/>
            <w:noProof/>
          </w:rPr>
          <w:t>3.4 Weight management</w:t>
        </w:r>
        <w:r>
          <w:rPr>
            <w:noProof/>
            <w:webHidden/>
          </w:rPr>
          <w:tab/>
        </w:r>
        <w:r>
          <w:rPr>
            <w:noProof/>
            <w:webHidden/>
          </w:rPr>
          <w:fldChar w:fldCharType="begin"/>
        </w:r>
        <w:r>
          <w:rPr>
            <w:noProof/>
            <w:webHidden/>
          </w:rPr>
          <w:instrText xml:space="preserve"> PAGEREF _Toc509388184 \h </w:instrText>
        </w:r>
        <w:r>
          <w:rPr>
            <w:noProof/>
            <w:webHidden/>
          </w:rPr>
        </w:r>
        <w:r>
          <w:rPr>
            <w:noProof/>
            <w:webHidden/>
          </w:rPr>
          <w:fldChar w:fldCharType="separate"/>
        </w:r>
        <w:r>
          <w:rPr>
            <w:noProof/>
            <w:webHidden/>
          </w:rPr>
          <w:t>10</w:t>
        </w:r>
        <w:r>
          <w:rPr>
            <w:noProof/>
            <w:webHidden/>
          </w:rPr>
          <w:fldChar w:fldCharType="end"/>
        </w:r>
      </w:hyperlink>
    </w:p>
    <w:p w14:paraId="763ED449" w14:textId="77777777" w:rsidR="007A494D" w:rsidRDefault="007A494D">
      <w:pPr>
        <w:pStyle w:val="TOC2"/>
        <w:tabs>
          <w:tab w:val="right" w:leader="dot" w:pos="9060"/>
        </w:tabs>
        <w:rPr>
          <w:rFonts w:eastAsiaTheme="minorEastAsia" w:cstheme="minorBidi"/>
          <w:noProof/>
          <w:sz w:val="22"/>
          <w:szCs w:val="22"/>
          <w:lang w:eastAsia="en-AU"/>
        </w:rPr>
      </w:pPr>
      <w:hyperlink w:anchor="_Toc509388185" w:history="1">
        <w:r w:rsidRPr="00200287">
          <w:rPr>
            <w:rStyle w:val="Hyperlink"/>
            <w:noProof/>
          </w:rPr>
          <w:t>3.5 Ensure all care plans for these patients take account of their obesity</w:t>
        </w:r>
        <w:r>
          <w:rPr>
            <w:noProof/>
            <w:webHidden/>
          </w:rPr>
          <w:tab/>
        </w:r>
        <w:r>
          <w:rPr>
            <w:noProof/>
            <w:webHidden/>
          </w:rPr>
          <w:fldChar w:fldCharType="begin"/>
        </w:r>
        <w:r>
          <w:rPr>
            <w:noProof/>
            <w:webHidden/>
          </w:rPr>
          <w:instrText xml:space="preserve"> PAGEREF _Toc509388185 \h </w:instrText>
        </w:r>
        <w:r>
          <w:rPr>
            <w:noProof/>
            <w:webHidden/>
          </w:rPr>
        </w:r>
        <w:r>
          <w:rPr>
            <w:noProof/>
            <w:webHidden/>
          </w:rPr>
          <w:fldChar w:fldCharType="separate"/>
        </w:r>
        <w:r>
          <w:rPr>
            <w:noProof/>
            <w:webHidden/>
          </w:rPr>
          <w:t>11</w:t>
        </w:r>
        <w:r>
          <w:rPr>
            <w:noProof/>
            <w:webHidden/>
          </w:rPr>
          <w:fldChar w:fldCharType="end"/>
        </w:r>
      </w:hyperlink>
    </w:p>
    <w:p w14:paraId="6362D94C" w14:textId="77777777" w:rsidR="007A494D" w:rsidRDefault="007A494D">
      <w:pPr>
        <w:pStyle w:val="TOC2"/>
        <w:tabs>
          <w:tab w:val="right" w:leader="dot" w:pos="9060"/>
        </w:tabs>
        <w:rPr>
          <w:rFonts w:eastAsiaTheme="minorEastAsia" w:cstheme="minorBidi"/>
          <w:noProof/>
          <w:sz w:val="22"/>
          <w:szCs w:val="22"/>
          <w:lang w:eastAsia="en-AU"/>
        </w:rPr>
      </w:pPr>
      <w:hyperlink w:anchor="_Toc509388186" w:history="1">
        <w:r w:rsidRPr="00200287">
          <w:rPr>
            <w:rStyle w:val="Hyperlink"/>
            <w:noProof/>
          </w:rPr>
          <w:t>3.6 Common co-morbidities of Class 3 obesity in adults</w:t>
        </w:r>
        <w:r>
          <w:rPr>
            <w:noProof/>
            <w:webHidden/>
          </w:rPr>
          <w:tab/>
        </w:r>
        <w:r>
          <w:rPr>
            <w:noProof/>
            <w:webHidden/>
          </w:rPr>
          <w:fldChar w:fldCharType="begin"/>
        </w:r>
        <w:r>
          <w:rPr>
            <w:noProof/>
            <w:webHidden/>
          </w:rPr>
          <w:instrText xml:space="preserve"> PAGEREF _Toc509388186 \h </w:instrText>
        </w:r>
        <w:r>
          <w:rPr>
            <w:noProof/>
            <w:webHidden/>
          </w:rPr>
        </w:r>
        <w:r>
          <w:rPr>
            <w:noProof/>
            <w:webHidden/>
          </w:rPr>
          <w:fldChar w:fldCharType="separate"/>
        </w:r>
        <w:r>
          <w:rPr>
            <w:noProof/>
            <w:webHidden/>
          </w:rPr>
          <w:t>12</w:t>
        </w:r>
        <w:r>
          <w:rPr>
            <w:noProof/>
            <w:webHidden/>
          </w:rPr>
          <w:fldChar w:fldCharType="end"/>
        </w:r>
      </w:hyperlink>
    </w:p>
    <w:p w14:paraId="62371E49" w14:textId="77777777" w:rsidR="007A494D" w:rsidRDefault="007A494D">
      <w:pPr>
        <w:pStyle w:val="TOC2"/>
        <w:tabs>
          <w:tab w:val="right" w:leader="dot" w:pos="9060"/>
        </w:tabs>
        <w:rPr>
          <w:rFonts w:eastAsiaTheme="minorEastAsia" w:cstheme="minorBidi"/>
          <w:noProof/>
          <w:sz w:val="22"/>
          <w:szCs w:val="22"/>
          <w:lang w:eastAsia="en-AU"/>
        </w:rPr>
      </w:pPr>
      <w:hyperlink w:anchor="_Toc509388187" w:history="1">
        <w:r w:rsidRPr="00200287">
          <w:rPr>
            <w:rStyle w:val="Hyperlink"/>
            <w:noProof/>
          </w:rPr>
          <w:t>3.7 Pressure injuries</w:t>
        </w:r>
        <w:r>
          <w:rPr>
            <w:noProof/>
            <w:webHidden/>
          </w:rPr>
          <w:tab/>
        </w:r>
        <w:r>
          <w:rPr>
            <w:noProof/>
            <w:webHidden/>
          </w:rPr>
          <w:fldChar w:fldCharType="begin"/>
        </w:r>
        <w:r>
          <w:rPr>
            <w:noProof/>
            <w:webHidden/>
          </w:rPr>
          <w:instrText xml:space="preserve"> PAGEREF _Toc509388187 \h </w:instrText>
        </w:r>
        <w:r>
          <w:rPr>
            <w:noProof/>
            <w:webHidden/>
          </w:rPr>
        </w:r>
        <w:r>
          <w:rPr>
            <w:noProof/>
            <w:webHidden/>
          </w:rPr>
          <w:fldChar w:fldCharType="separate"/>
        </w:r>
        <w:r>
          <w:rPr>
            <w:noProof/>
            <w:webHidden/>
          </w:rPr>
          <w:t>12</w:t>
        </w:r>
        <w:r>
          <w:rPr>
            <w:noProof/>
            <w:webHidden/>
          </w:rPr>
          <w:fldChar w:fldCharType="end"/>
        </w:r>
      </w:hyperlink>
    </w:p>
    <w:p w14:paraId="7791C303" w14:textId="77777777" w:rsidR="007A494D" w:rsidRDefault="007A494D">
      <w:pPr>
        <w:pStyle w:val="TOC2"/>
        <w:tabs>
          <w:tab w:val="right" w:leader="dot" w:pos="9060"/>
        </w:tabs>
        <w:rPr>
          <w:rFonts w:eastAsiaTheme="minorEastAsia" w:cstheme="minorBidi"/>
          <w:noProof/>
          <w:sz w:val="22"/>
          <w:szCs w:val="22"/>
          <w:lang w:eastAsia="en-AU"/>
        </w:rPr>
      </w:pPr>
      <w:hyperlink w:anchor="_Toc509388188" w:history="1">
        <w:r w:rsidRPr="00200287">
          <w:rPr>
            <w:rStyle w:val="Hyperlink"/>
            <w:noProof/>
          </w:rPr>
          <w:t>3.8 Issues with diagnostic tests</w:t>
        </w:r>
        <w:r>
          <w:rPr>
            <w:noProof/>
            <w:webHidden/>
          </w:rPr>
          <w:tab/>
        </w:r>
        <w:r>
          <w:rPr>
            <w:noProof/>
            <w:webHidden/>
          </w:rPr>
          <w:fldChar w:fldCharType="begin"/>
        </w:r>
        <w:r>
          <w:rPr>
            <w:noProof/>
            <w:webHidden/>
          </w:rPr>
          <w:instrText xml:space="preserve"> PAGEREF _Toc509388188 \h </w:instrText>
        </w:r>
        <w:r>
          <w:rPr>
            <w:noProof/>
            <w:webHidden/>
          </w:rPr>
        </w:r>
        <w:r>
          <w:rPr>
            <w:noProof/>
            <w:webHidden/>
          </w:rPr>
          <w:fldChar w:fldCharType="separate"/>
        </w:r>
        <w:r>
          <w:rPr>
            <w:noProof/>
            <w:webHidden/>
          </w:rPr>
          <w:t>13</w:t>
        </w:r>
        <w:r>
          <w:rPr>
            <w:noProof/>
            <w:webHidden/>
          </w:rPr>
          <w:fldChar w:fldCharType="end"/>
        </w:r>
      </w:hyperlink>
    </w:p>
    <w:p w14:paraId="2DF34AE5" w14:textId="77777777" w:rsidR="007A494D" w:rsidRDefault="007A494D">
      <w:pPr>
        <w:pStyle w:val="TOC2"/>
        <w:tabs>
          <w:tab w:val="right" w:leader="dot" w:pos="9060"/>
        </w:tabs>
        <w:rPr>
          <w:rFonts w:eastAsiaTheme="minorEastAsia" w:cstheme="minorBidi"/>
          <w:noProof/>
          <w:sz w:val="22"/>
          <w:szCs w:val="22"/>
          <w:lang w:eastAsia="en-AU"/>
        </w:rPr>
      </w:pPr>
      <w:hyperlink w:anchor="_Toc509388189" w:history="1">
        <w:r w:rsidRPr="00200287">
          <w:rPr>
            <w:rStyle w:val="Hyperlink"/>
            <w:noProof/>
          </w:rPr>
          <w:t>3.9 Issues with prescribing</w:t>
        </w:r>
        <w:r>
          <w:rPr>
            <w:noProof/>
            <w:webHidden/>
          </w:rPr>
          <w:tab/>
        </w:r>
        <w:r>
          <w:rPr>
            <w:noProof/>
            <w:webHidden/>
          </w:rPr>
          <w:fldChar w:fldCharType="begin"/>
        </w:r>
        <w:r>
          <w:rPr>
            <w:noProof/>
            <w:webHidden/>
          </w:rPr>
          <w:instrText xml:space="preserve"> PAGEREF _Toc509388189 \h </w:instrText>
        </w:r>
        <w:r>
          <w:rPr>
            <w:noProof/>
            <w:webHidden/>
          </w:rPr>
        </w:r>
        <w:r>
          <w:rPr>
            <w:noProof/>
            <w:webHidden/>
          </w:rPr>
          <w:fldChar w:fldCharType="separate"/>
        </w:r>
        <w:r>
          <w:rPr>
            <w:noProof/>
            <w:webHidden/>
          </w:rPr>
          <w:t>13</w:t>
        </w:r>
        <w:r>
          <w:rPr>
            <w:noProof/>
            <w:webHidden/>
          </w:rPr>
          <w:fldChar w:fldCharType="end"/>
        </w:r>
      </w:hyperlink>
    </w:p>
    <w:p w14:paraId="698CEFF5" w14:textId="77777777" w:rsidR="007A494D" w:rsidRDefault="007A494D">
      <w:pPr>
        <w:pStyle w:val="TOC2"/>
        <w:tabs>
          <w:tab w:val="right" w:leader="dot" w:pos="9060"/>
        </w:tabs>
        <w:rPr>
          <w:rFonts w:eastAsiaTheme="minorEastAsia" w:cstheme="minorBidi"/>
          <w:noProof/>
          <w:sz w:val="22"/>
          <w:szCs w:val="22"/>
          <w:lang w:eastAsia="en-AU"/>
        </w:rPr>
      </w:pPr>
      <w:hyperlink w:anchor="_Toc509388190" w:history="1">
        <w:r w:rsidRPr="00200287">
          <w:rPr>
            <w:rStyle w:val="Hyperlink"/>
            <w:noProof/>
          </w:rPr>
          <w:t>3.10 Issues with surgery</w:t>
        </w:r>
        <w:r>
          <w:rPr>
            <w:noProof/>
            <w:webHidden/>
          </w:rPr>
          <w:tab/>
        </w:r>
        <w:r>
          <w:rPr>
            <w:noProof/>
            <w:webHidden/>
          </w:rPr>
          <w:fldChar w:fldCharType="begin"/>
        </w:r>
        <w:r>
          <w:rPr>
            <w:noProof/>
            <w:webHidden/>
          </w:rPr>
          <w:instrText xml:space="preserve"> PAGEREF _Toc509388190 \h </w:instrText>
        </w:r>
        <w:r>
          <w:rPr>
            <w:noProof/>
            <w:webHidden/>
          </w:rPr>
        </w:r>
        <w:r>
          <w:rPr>
            <w:noProof/>
            <w:webHidden/>
          </w:rPr>
          <w:fldChar w:fldCharType="separate"/>
        </w:r>
        <w:r>
          <w:rPr>
            <w:noProof/>
            <w:webHidden/>
          </w:rPr>
          <w:t>13</w:t>
        </w:r>
        <w:r>
          <w:rPr>
            <w:noProof/>
            <w:webHidden/>
          </w:rPr>
          <w:fldChar w:fldCharType="end"/>
        </w:r>
      </w:hyperlink>
    </w:p>
    <w:p w14:paraId="5EDE6FC1" w14:textId="77777777" w:rsidR="007A494D" w:rsidRDefault="007A494D">
      <w:pPr>
        <w:pStyle w:val="TOC2"/>
        <w:tabs>
          <w:tab w:val="right" w:leader="dot" w:pos="9060"/>
        </w:tabs>
        <w:rPr>
          <w:rFonts w:eastAsiaTheme="minorEastAsia" w:cstheme="minorBidi"/>
          <w:noProof/>
          <w:sz w:val="22"/>
          <w:szCs w:val="22"/>
          <w:lang w:eastAsia="en-AU"/>
        </w:rPr>
      </w:pPr>
      <w:hyperlink w:anchor="_Toc509388191" w:history="1">
        <w:r w:rsidRPr="00200287">
          <w:rPr>
            <w:rStyle w:val="Hyperlink"/>
            <w:noProof/>
          </w:rPr>
          <w:t>3.11 Adult Obesity Management Service</w:t>
        </w:r>
        <w:r>
          <w:rPr>
            <w:noProof/>
            <w:webHidden/>
          </w:rPr>
          <w:tab/>
        </w:r>
        <w:r>
          <w:rPr>
            <w:noProof/>
            <w:webHidden/>
          </w:rPr>
          <w:fldChar w:fldCharType="begin"/>
        </w:r>
        <w:r>
          <w:rPr>
            <w:noProof/>
            <w:webHidden/>
          </w:rPr>
          <w:instrText xml:space="preserve"> PAGEREF _Toc509388191 \h </w:instrText>
        </w:r>
        <w:r>
          <w:rPr>
            <w:noProof/>
            <w:webHidden/>
          </w:rPr>
        </w:r>
        <w:r>
          <w:rPr>
            <w:noProof/>
            <w:webHidden/>
          </w:rPr>
          <w:fldChar w:fldCharType="separate"/>
        </w:r>
        <w:r>
          <w:rPr>
            <w:noProof/>
            <w:webHidden/>
          </w:rPr>
          <w:t>13</w:t>
        </w:r>
        <w:r>
          <w:rPr>
            <w:noProof/>
            <w:webHidden/>
          </w:rPr>
          <w:fldChar w:fldCharType="end"/>
        </w:r>
      </w:hyperlink>
    </w:p>
    <w:p w14:paraId="16723295" w14:textId="77777777" w:rsidR="007A494D" w:rsidRDefault="007A494D">
      <w:pPr>
        <w:pStyle w:val="TOC2"/>
        <w:tabs>
          <w:tab w:val="right" w:leader="dot" w:pos="9060"/>
        </w:tabs>
        <w:rPr>
          <w:rFonts w:eastAsiaTheme="minorEastAsia" w:cstheme="minorBidi"/>
          <w:noProof/>
          <w:sz w:val="22"/>
          <w:szCs w:val="22"/>
          <w:lang w:eastAsia="en-AU"/>
        </w:rPr>
      </w:pPr>
      <w:hyperlink w:anchor="_Toc509388192" w:history="1">
        <w:r w:rsidRPr="00200287">
          <w:rPr>
            <w:rStyle w:val="Hyperlink"/>
            <w:noProof/>
          </w:rPr>
          <w:t>3.12 Public Bariatric Surgery</w:t>
        </w:r>
        <w:r>
          <w:rPr>
            <w:noProof/>
            <w:webHidden/>
          </w:rPr>
          <w:tab/>
        </w:r>
        <w:r>
          <w:rPr>
            <w:noProof/>
            <w:webHidden/>
          </w:rPr>
          <w:fldChar w:fldCharType="begin"/>
        </w:r>
        <w:r>
          <w:rPr>
            <w:noProof/>
            <w:webHidden/>
          </w:rPr>
          <w:instrText xml:space="preserve"> PAGEREF _Toc509388192 \h </w:instrText>
        </w:r>
        <w:r>
          <w:rPr>
            <w:noProof/>
            <w:webHidden/>
          </w:rPr>
        </w:r>
        <w:r>
          <w:rPr>
            <w:noProof/>
            <w:webHidden/>
          </w:rPr>
          <w:fldChar w:fldCharType="separate"/>
        </w:r>
        <w:r>
          <w:rPr>
            <w:noProof/>
            <w:webHidden/>
          </w:rPr>
          <w:t>13</w:t>
        </w:r>
        <w:r>
          <w:rPr>
            <w:noProof/>
            <w:webHidden/>
          </w:rPr>
          <w:fldChar w:fldCharType="end"/>
        </w:r>
      </w:hyperlink>
    </w:p>
    <w:p w14:paraId="360B2E15" w14:textId="77777777" w:rsidR="007A494D" w:rsidRDefault="007A494D">
      <w:pPr>
        <w:pStyle w:val="TOC1"/>
        <w:tabs>
          <w:tab w:val="right" w:leader="dot" w:pos="9060"/>
        </w:tabs>
        <w:rPr>
          <w:rFonts w:eastAsiaTheme="minorEastAsia" w:cstheme="minorBidi"/>
          <w:noProof/>
          <w:sz w:val="22"/>
          <w:szCs w:val="22"/>
          <w:lang w:eastAsia="en-AU"/>
        </w:rPr>
      </w:pPr>
      <w:hyperlink w:anchor="_Toc509388193" w:history="1">
        <w:r w:rsidRPr="00200287">
          <w:rPr>
            <w:rStyle w:val="Hyperlink"/>
            <w:noProof/>
          </w:rPr>
          <w:t>Implementation</w:t>
        </w:r>
        <w:r>
          <w:rPr>
            <w:noProof/>
            <w:webHidden/>
          </w:rPr>
          <w:tab/>
        </w:r>
        <w:r>
          <w:rPr>
            <w:noProof/>
            <w:webHidden/>
          </w:rPr>
          <w:fldChar w:fldCharType="begin"/>
        </w:r>
        <w:r>
          <w:rPr>
            <w:noProof/>
            <w:webHidden/>
          </w:rPr>
          <w:instrText xml:space="preserve"> PAGEREF _Toc509388193 \h </w:instrText>
        </w:r>
        <w:r>
          <w:rPr>
            <w:noProof/>
            <w:webHidden/>
          </w:rPr>
        </w:r>
        <w:r>
          <w:rPr>
            <w:noProof/>
            <w:webHidden/>
          </w:rPr>
          <w:fldChar w:fldCharType="separate"/>
        </w:r>
        <w:r>
          <w:rPr>
            <w:noProof/>
            <w:webHidden/>
          </w:rPr>
          <w:t>13</w:t>
        </w:r>
        <w:r>
          <w:rPr>
            <w:noProof/>
            <w:webHidden/>
          </w:rPr>
          <w:fldChar w:fldCharType="end"/>
        </w:r>
      </w:hyperlink>
    </w:p>
    <w:p w14:paraId="65F3BF0F" w14:textId="77777777" w:rsidR="007A494D" w:rsidRDefault="007A494D">
      <w:pPr>
        <w:pStyle w:val="TOC1"/>
        <w:tabs>
          <w:tab w:val="right" w:leader="dot" w:pos="9060"/>
        </w:tabs>
        <w:rPr>
          <w:rFonts w:eastAsiaTheme="minorEastAsia" w:cstheme="minorBidi"/>
          <w:noProof/>
          <w:sz w:val="22"/>
          <w:szCs w:val="22"/>
          <w:lang w:eastAsia="en-AU"/>
        </w:rPr>
      </w:pPr>
      <w:hyperlink w:anchor="_Toc509388194" w:history="1">
        <w:r w:rsidRPr="00200287">
          <w:rPr>
            <w:rStyle w:val="Hyperlink"/>
            <w:noProof/>
          </w:rPr>
          <w:t>Related Policies, Procedures, Guidelines and Legislation</w:t>
        </w:r>
        <w:r>
          <w:rPr>
            <w:noProof/>
            <w:webHidden/>
          </w:rPr>
          <w:tab/>
        </w:r>
        <w:r>
          <w:rPr>
            <w:noProof/>
            <w:webHidden/>
          </w:rPr>
          <w:fldChar w:fldCharType="begin"/>
        </w:r>
        <w:r>
          <w:rPr>
            <w:noProof/>
            <w:webHidden/>
          </w:rPr>
          <w:instrText xml:space="preserve"> PAGEREF _Toc509388194 \h </w:instrText>
        </w:r>
        <w:r>
          <w:rPr>
            <w:noProof/>
            <w:webHidden/>
          </w:rPr>
        </w:r>
        <w:r>
          <w:rPr>
            <w:noProof/>
            <w:webHidden/>
          </w:rPr>
          <w:fldChar w:fldCharType="separate"/>
        </w:r>
        <w:r>
          <w:rPr>
            <w:noProof/>
            <w:webHidden/>
          </w:rPr>
          <w:t>14</w:t>
        </w:r>
        <w:r>
          <w:rPr>
            <w:noProof/>
            <w:webHidden/>
          </w:rPr>
          <w:fldChar w:fldCharType="end"/>
        </w:r>
      </w:hyperlink>
    </w:p>
    <w:p w14:paraId="52F57DB6" w14:textId="77777777" w:rsidR="007A494D" w:rsidRDefault="007A494D">
      <w:pPr>
        <w:pStyle w:val="TOC1"/>
        <w:tabs>
          <w:tab w:val="right" w:leader="dot" w:pos="9060"/>
        </w:tabs>
        <w:rPr>
          <w:rFonts w:eastAsiaTheme="minorEastAsia" w:cstheme="minorBidi"/>
          <w:noProof/>
          <w:sz w:val="22"/>
          <w:szCs w:val="22"/>
          <w:lang w:eastAsia="en-AU"/>
        </w:rPr>
      </w:pPr>
      <w:hyperlink w:anchor="_Toc509388195" w:history="1">
        <w:r w:rsidRPr="00200287">
          <w:rPr>
            <w:rStyle w:val="Hyperlink"/>
            <w:noProof/>
          </w:rPr>
          <w:t>References</w:t>
        </w:r>
        <w:r>
          <w:rPr>
            <w:noProof/>
            <w:webHidden/>
          </w:rPr>
          <w:tab/>
        </w:r>
        <w:r>
          <w:rPr>
            <w:noProof/>
            <w:webHidden/>
          </w:rPr>
          <w:fldChar w:fldCharType="begin"/>
        </w:r>
        <w:r>
          <w:rPr>
            <w:noProof/>
            <w:webHidden/>
          </w:rPr>
          <w:instrText xml:space="preserve"> PAGEREF _Toc509388195 \h </w:instrText>
        </w:r>
        <w:r>
          <w:rPr>
            <w:noProof/>
            <w:webHidden/>
          </w:rPr>
        </w:r>
        <w:r>
          <w:rPr>
            <w:noProof/>
            <w:webHidden/>
          </w:rPr>
          <w:fldChar w:fldCharType="separate"/>
        </w:r>
        <w:r>
          <w:rPr>
            <w:noProof/>
            <w:webHidden/>
          </w:rPr>
          <w:t>14</w:t>
        </w:r>
        <w:r>
          <w:rPr>
            <w:noProof/>
            <w:webHidden/>
          </w:rPr>
          <w:fldChar w:fldCharType="end"/>
        </w:r>
      </w:hyperlink>
    </w:p>
    <w:p w14:paraId="2EE49219" w14:textId="77777777" w:rsidR="007A494D" w:rsidRDefault="007A494D">
      <w:pPr>
        <w:pStyle w:val="TOC1"/>
        <w:tabs>
          <w:tab w:val="right" w:leader="dot" w:pos="9060"/>
        </w:tabs>
        <w:rPr>
          <w:rFonts w:eastAsiaTheme="minorEastAsia" w:cstheme="minorBidi"/>
          <w:noProof/>
          <w:sz w:val="22"/>
          <w:szCs w:val="22"/>
          <w:lang w:eastAsia="en-AU"/>
        </w:rPr>
      </w:pPr>
      <w:hyperlink w:anchor="_Toc509388196" w:history="1">
        <w:r w:rsidRPr="00200287">
          <w:rPr>
            <w:rStyle w:val="Hyperlink"/>
            <w:noProof/>
          </w:rPr>
          <w:t>Definition of Terms</w:t>
        </w:r>
        <w:r>
          <w:rPr>
            <w:noProof/>
            <w:webHidden/>
          </w:rPr>
          <w:tab/>
        </w:r>
        <w:r>
          <w:rPr>
            <w:noProof/>
            <w:webHidden/>
          </w:rPr>
          <w:fldChar w:fldCharType="begin"/>
        </w:r>
        <w:r>
          <w:rPr>
            <w:noProof/>
            <w:webHidden/>
          </w:rPr>
          <w:instrText xml:space="preserve"> PAGEREF _Toc509388196 \h </w:instrText>
        </w:r>
        <w:r>
          <w:rPr>
            <w:noProof/>
            <w:webHidden/>
          </w:rPr>
        </w:r>
        <w:r>
          <w:rPr>
            <w:noProof/>
            <w:webHidden/>
          </w:rPr>
          <w:fldChar w:fldCharType="separate"/>
        </w:r>
        <w:r>
          <w:rPr>
            <w:noProof/>
            <w:webHidden/>
          </w:rPr>
          <w:t>15</w:t>
        </w:r>
        <w:r>
          <w:rPr>
            <w:noProof/>
            <w:webHidden/>
          </w:rPr>
          <w:fldChar w:fldCharType="end"/>
        </w:r>
      </w:hyperlink>
    </w:p>
    <w:p w14:paraId="11C5A0E7" w14:textId="77777777" w:rsidR="007A494D" w:rsidRDefault="007A494D">
      <w:pPr>
        <w:pStyle w:val="TOC1"/>
        <w:tabs>
          <w:tab w:val="right" w:leader="dot" w:pos="9060"/>
        </w:tabs>
        <w:rPr>
          <w:rFonts w:eastAsiaTheme="minorEastAsia" w:cstheme="minorBidi"/>
          <w:noProof/>
          <w:sz w:val="22"/>
          <w:szCs w:val="22"/>
          <w:lang w:eastAsia="en-AU"/>
        </w:rPr>
      </w:pPr>
      <w:hyperlink w:anchor="_Toc509388197" w:history="1">
        <w:r w:rsidRPr="00200287">
          <w:rPr>
            <w:rStyle w:val="Hyperlink"/>
            <w:noProof/>
          </w:rPr>
          <w:t>Search Terms</w:t>
        </w:r>
        <w:r>
          <w:rPr>
            <w:noProof/>
            <w:webHidden/>
          </w:rPr>
          <w:tab/>
        </w:r>
        <w:r>
          <w:rPr>
            <w:noProof/>
            <w:webHidden/>
          </w:rPr>
          <w:fldChar w:fldCharType="begin"/>
        </w:r>
        <w:r>
          <w:rPr>
            <w:noProof/>
            <w:webHidden/>
          </w:rPr>
          <w:instrText xml:space="preserve"> PAGEREF _Toc509388197 \h </w:instrText>
        </w:r>
        <w:r>
          <w:rPr>
            <w:noProof/>
            <w:webHidden/>
          </w:rPr>
        </w:r>
        <w:r>
          <w:rPr>
            <w:noProof/>
            <w:webHidden/>
          </w:rPr>
          <w:fldChar w:fldCharType="separate"/>
        </w:r>
        <w:r>
          <w:rPr>
            <w:noProof/>
            <w:webHidden/>
          </w:rPr>
          <w:t>15</w:t>
        </w:r>
        <w:r>
          <w:rPr>
            <w:noProof/>
            <w:webHidden/>
          </w:rPr>
          <w:fldChar w:fldCharType="end"/>
        </w:r>
      </w:hyperlink>
    </w:p>
    <w:p w14:paraId="083DF9D8" w14:textId="77777777" w:rsidR="007A494D" w:rsidRDefault="007A494D" w:rsidP="007A494D">
      <w:pPr>
        <w:rPr>
          <w:rFonts w:asciiTheme="minorHAnsi" w:hAnsiTheme="minorHAnsi"/>
        </w:rPr>
      </w:pPr>
      <w:r>
        <w:rPr>
          <w:rFonts w:asciiTheme="minorHAnsi" w:hAnsiTheme="minorHAnsi"/>
        </w:rPr>
        <w:fldChar w:fldCharType="end"/>
      </w:r>
    </w:p>
    <w:p w14:paraId="4CA68A3E" w14:textId="77777777" w:rsidR="007A494D" w:rsidRPr="00763141" w:rsidRDefault="007A494D" w:rsidP="007A494D">
      <w:pPr>
        <w:spacing w:after="200" w:line="276" w:lineRule="auto"/>
      </w:pPr>
      <w:r>
        <w:rPr>
          <w:rFonts w:asciiTheme="minorHAnsi" w:hAnsiTheme="minorHAnsi"/>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7A494D" w:rsidRPr="00CD1C0E" w14:paraId="52DD5E12" w14:textId="77777777" w:rsidTr="0081235F">
        <w:trPr>
          <w:cantSplit/>
          <w:trHeight w:val="285"/>
        </w:trPr>
        <w:tc>
          <w:tcPr>
            <w:tcW w:w="9158" w:type="dxa"/>
            <w:shd w:val="clear" w:color="auto" w:fill="A6A6A6" w:themeFill="background1" w:themeFillShade="A6"/>
          </w:tcPr>
          <w:p w14:paraId="2C123DE6" w14:textId="77777777" w:rsidR="007A494D" w:rsidRPr="00CD1C0E" w:rsidRDefault="007A494D" w:rsidP="0081235F">
            <w:pPr>
              <w:pStyle w:val="Heading1"/>
            </w:pPr>
            <w:bookmarkStart w:id="10" w:name="_Toc389473274"/>
            <w:bookmarkStart w:id="11" w:name="_Toc509388163"/>
            <w:r w:rsidRPr="00CD1C0E">
              <w:t>Purpose</w:t>
            </w:r>
            <w:bookmarkEnd w:id="10"/>
            <w:bookmarkEnd w:id="11"/>
          </w:p>
        </w:tc>
      </w:tr>
    </w:tbl>
    <w:p w14:paraId="116EB740" w14:textId="77777777" w:rsidR="007A494D" w:rsidRDefault="007A494D" w:rsidP="007A494D">
      <w:pPr>
        <w:rPr>
          <w:rFonts w:cs="Arial"/>
          <w:i/>
          <w:szCs w:val="24"/>
        </w:rPr>
      </w:pPr>
    </w:p>
    <w:p w14:paraId="5F78DC81" w14:textId="77777777" w:rsidR="007A494D" w:rsidRDefault="007A494D" w:rsidP="007A494D">
      <w:pPr>
        <w:pStyle w:val="ListBullet"/>
      </w:pPr>
      <w:r w:rsidRPr="00655421">
        <w:t xml:space="preserve">To </w:t>
      </w:r>
      <w:r>
        <w:t>provide</w:t>
      </w:r>
      <w:r w:rsidRPr="00085C14">
        <w:rPr>
          <w:i/>
        </w:rPr>
        <w:t xml:space="preserve"> </w:t>
      </w:r>
      <w:r w:rsidRPr="00841701">
        <w:t xml:space="preserve">consistency in </w:t>
      </w:r>
      <w:r>
        <w:t xml:space="preserve">the </w:t>
      </w:r>
      <w:r w:rsidRPr="00841701">
        <w:t>safe manual handling of larger adult patients</w:t>
      </w:r>
      <w:r>
        <w:t xml:space="preserve">, including the use of appropriate equipment, to </w:t>
      </w:r>
      <w:r w:rsidRPr="00841701">
        <w:t>preserv</w:t>
      </w:r>
      <w:r>
        <w:t xml:space="preserve">e </w:t>
      </w:r>
      <w:r w:rsidRPr="00841701">
        <w:t>dignity</w:t>
      </w:r>
      <w:r>
        <w:t xml:space="preserve"> and reduce the risk of injury</w:t>
      </w:r>
      <w:r w:rsidRPr="00841701">
        <w:t>.</w:t>
      </w:r>
    </w:p>
    <w:p w14:paraId="3AB01AEE" w14:textId="77777777" w:rsidR="007A494D" w:rsidRPr="00841701" w:rsidRDefault="007A494D" w:rsidP="007A494D">
      <w:pPr>
        <w:pStyle w:val="ListBullet"/>
      </w:pPr>
      <w:r>
        <w:t>To ensure that larger patients receive high quality, safe and effective evidence based care including being assessed for obesity.</w:t>
      </w:r>
    </w:p>
    <w:p w14:paraId="1105DCAD" w14:textId="77777777" w:rsidR="007A494D" w:rsidRDefault="007A494D" w:rsidP="007A494D">
      <w:pPr>
        <w:pStyle w:val="ListBullet"/>
      </w:pPr>
      <w:r w:rsidRPr="00841701">
        <w:t xml:space="preserve">To provide guidance to staff in the </w:t>
      </w:r>
      <w:r>
        <w:t xml:space="preserve">safe, </w:t>
      </w:r>
      <w:r w:rsidRPr="00841701">
        <w:t>active management of the larger patient</w:t>
      </w:r>
      <w:r>
        <w:t>. Active management includes:</w:t>
      </w:r>
    </w:p>
    <w:p w14:paraId="28EFA5E0" w14:textId="77777777" w:rsidR="007A494D" w:rsidRPr="00841701" w:rsidRDefault="007A494D" w:rsidP="007A494D">
      <w:pPr>
        <w:pStyle w:val="ListParagraph"/>
        <w:numPr>
          <w:ilvl w:val="0"/>
          <w:numId w:val="43"/>
        </w:numPr>
      </w:pPr>
      <w:r w:rsidRPr="00841701">
        <w:t>Specific</w:t>
      </w:r>
      <w:r>
        <w:t xml:space="preserve"> screening,</w:t>
      </w:r>
      <w:r w:rsidRPr="00841701">
        <w:t xml:space="preserve"> </w:t>
      </w:r>
      <w:r>
        <w:t xml:space="preserve">assessment and </w:t>
      </w:r>
      <w:r w:rsidRPr="00841701">
        <w:t>diagnosis of obesity;</w:t>
      </w:r>
    </w:p>
    <w:p w14:paraId="0CBB51BA" w14:textId="77777777" w:rsidR="007A494D" w:rsidRDefault="007A494D" w:rsidP="007A494D">
      <w:pPr>
        <w:pStyle w:val="ListParagraph"/>
        <w:numPr>
          <w:ilvl w:val="0"/>
          <w:numId w:val="43"/>
        </w:numPr>
      </w:pPr>
      <w:r>
        <w:t>P</w:t>
      </w:r>
      <w:r w:rsidRPr="00655421">
        <w:t>lan</w:t>
      </w:r>
      <w:r>
        <w:t>ning</w:t>
      </w:r>
      <w:r w:rsidRPr="00655421">
        <w:t xml:space="preserve"> </w:t>
      </w:r>
      <w:r>
        <w:t>the</w:t>
      </w:r>
      <w:r w:rsidRPr="00655421">
        <w:t xml:space="preserve"> provision of care </w:t>
      </w:r>
      <w:r>
        <w:t xml:space="preserve">in partnership </w:t>
      </w:r>
      <w:r w:rsidRPr="00655421">
        <w:t>with the patient, including consideration of co-morbidities and ensuring suitable equipment is availa</w:t>
      </w:r>
      <w:r>
        <w:t>ble; and</w:t>
      </w:r>
    </w:p>
    <w:p w14:paraId="093B0DC3" w14:textId="77777777" w:rsidR="007A494D" w:rsidRDefault="007A494D" w:rsidP="007A494D">
      <w:pPr>
        <w:pStyle w:val="ListParagraph"/>
        <w:numPr>
          <w:ilvl w:val="0"/>
          <w:numId w:val="43"/>
        </w:numPr>
      </w:pPr>
      <w:r>
        <w:t>N</w:t>
      </w:r>
      <w:r w:rsidRPr="00655421">
        <w:t>on-judg</w:t>
      </w:r>
      <w:r>
        <w:t>e</w:t>
      </w:r>
      <w:r w:rsidRPr="00655421">
        <w:t>mental service provision.</w:t>
      </w:r>
    </w:p>
    <w:p w14:paraId="7FE52CC4" w14:textId="77777777" w:rsidR="007A494D" w:rsidRDefault="007A494D" w:rsidP="007A494D">
      <w:pPr>
        <w:jc w:val="right"/>
      </w:pPr>
    </w:p>
    <w:p w14:paraId="398BA65E" w14:textId="77777777" w:rsidR="007A494D" w:rsidRPr="00CD1C0E" w:rsidRDefault="007A494D" w:rsidP="007A494D">
      <w:pPr>
        <w:jc w:val="right"/>
        <w:rPr>
          <w:rFonts w:cs="Arial"/>
          <w:szCs w:val="24"/>
        </w:rPr>
      </w:pPr>
      <w:hyperlink w:anchor="Contents" w:history="1">
        <w:r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A494D" w:rsidRPr="00CD1C0E" w14:paraId="11CEF0F2" w14:textId="77777777" w:rsidTr="0081235F">
        <w:trPr>
          <w:cantSplit/>
          <w:trHeight w:val="285"/>
        </w:trPr>
        <w:tc>
          <w:tcPr>
            <w:tcW w:w="9158" w:type="dxa"/>
            <w:shd w:val="clear" w:color="auto" w:fill="A6A6A6" w:themeFill="background1" w:themeFillShade="A6"/>
          </w:tcPr>
          <w:p w14:paraId="3D7A244A" w14:textId="77777777" w:rsidR="007A494D" w:rsidRPr="00CD1C0E" w:rsidRDefault="007A494D" w:rsidP="0081235F">
            <w:pPr>
              <w:pStyle w:val="Heading1"/>
            </w:pPr>
            <w:bookmarkStart w:id="12" w:name="_Toc389473276"/>
            <w:bookmarkStart w:id="13" w:name="_Toc509388164"/>
            <w:r>
              <w:t>Alerts</w:t>
            </w:r>
            <w:bookmarkEnd w:id="12"/>
            <w:bookmarkEnd w:id="13"/>
          </w:p>
        </w:tc>
      </w:tr>
    </w:tbl>
    <w:p w14:paraId="4AFE2105" w14:textId="77777777" w:rsidR="007A494D" w:rsidRDefault="007A494D" w:rsidP="007A494D">
      <w:pPr>
        <w:rPr>
          <w:rFonts w:cs="Arial"/>
          <w:szCs w:val="24"/>
        </w:rPr>
      </w:pPr>
    </w:p>
    <w:p w14:paraId="1245A3FF" w14:textId="77777777" w:rsidR="007A494D" w:rsidRDefault="007A494D" w:rsidP="007A494D">
      <w:pPr>
        <w:rPr>
          <w:rFonts w:cs="Arial"/>
          <w:szCs w:val="24"/>
        </w:rPr>
      </w:pPr>
      <w:r>
        <w:rPr>
          <w:rFonts w:cs="Arial"/>
          <w:szCs w:val="24"/>
        </w:rPr>
        <w:t>Larger adult patients are one of the social groups who routinely face negative attitudes from service providers. Non-judgemental service provision is fundamental to improving patient care and health outcomes</w:t>
      </w:r>
      <w:r>
        <w:rPr>
          <w:rFonts w:cs="Arial"/>
          <w:szCs w:val="24"/>
          <w:vertAlign w:val="superscript"/>
        </w:rPr>
        <w:t>1,2</w:t>
      </w:r>
      <w:r>
        <w:rPr>
          <w:rFonts w:cs="Arial"/>
          <w:szCs w:val="24"/>
        </w:rPr>
        <w:t xml:space="preserve">. </w:t>
      </w:r>
      <w:r w:rsidRPr="003815A5">
        <w:rPr>
          <w:rFonts w:cs="Arial"/>
          <w:szCs w:val="24"/>
        </w:rPr>
        <w:t xml:space="preserve">Larger patients can feel particularly vulnerable while in the health system and </w:t>
      </w:r>
      <w:r>
        <w:rPr>
          <w:rFonts w:cs="Arial"/>
          <w:szCs w:val="24"/>
        </w:rPr>
        <w:t xml:space="preserve">may </w:t>
      </w:r>
      <w:r w:rsidRPr="003815A5">
        <w:rPr>
          <w:rFonts w:cs="Arial"/>
          <w:szCs w:val="24"/>
        </w:rPr>
        <w:t xml:space="preserve">feel judged by staff </w:t>
      </w:r>
      <w:r>
        <w:rPr>
          <w:rFonts w:cs="Arial"/>
          <w:szCs w:val="24"/>
        </w:rPr>
        <w:t xml:space="preserve">or feel </w:t>
      </w:r>
      <w:r w:rsidRPr="003815A5">
        <w:rPr>
          <w:rFonts w:cs="Arial"/>
          <w:szCs w:val="24"/>
        </w:rPr>
        <w:t>embarrassed by</w:t>
      </w:r>
      <w:r>
        <w:rPr>
          <w:rFonts w:cs="Arial"/>
          <w:szCs w:val="24"/>
        </w:rPr>
        <w:t xml:space="preserve"> the</w:t>
      </w:r>
      <w:r w:rsidRPr="003815A5">
        <w:rPr>
          <w:rFonts w:cs="Arial"/>
          <w:szCs w:val="24"/>
        </w:rPr>
        <w:t xml:space="preserve"> need to make special arrangements for care. </w:t>
      </w:r>
      <w:r>
        <w:rPr>
          <w:rFonts w:cs="Arial"/>
          <w:szCs w:val="24"/>
        </w:rPr>
        <w:t>Any clinical a</w:t>
      </w:r>
      <w:r w:rsidRPr="003815A5">
        <w:rPr>
          <w:rFonts w:cs="Arial"/>
          <w:szCs w:val="24"/>
        </w:rPr>
        <w:t xml:space="preserve">ctions </w:t>
      </w:r>
      <w:r>
        <w:rPr>
          <w:rFonts w:cs="Arial"/>
          <w:szCs w:val="24"/>
        </w:rPr>
        <w:t>p</w:t>
      </w:r>
      <w:r w:rsidRPr="003815A5">
        <w:rPr>
          <w:rFonts w:cs="Arial"/>
          <w:szCs w:val="24"/>
        </w:rPr>
        <w:t>roposed</w:t>
      </w:r>
      <w:r>
        <w:rPr>
          <w:rFonts w:cs="Arial"/>
          <w:szCs w:val="24"/>
        </w:rPr>
        <w:t xml:space="preserve"> by staff</w:t>
      </w:r>
      <w:r w:rsidRPr="003815A5">
        <w:rPr>
          <w:rFonts w:cs="Arial"/>
          <w:szCs w:val="24"/>
        </w:rPr>
        <w:t xml:space="preserve"> should be discussed in a respectful</w:t>
      </w:r>
      <w:r>
        <w:rPr>
          <w:rFonts w:cs="Arial"/>
          <w:szCs w:val="24"/>
        </w:rPr>
        <w:t xml:space="preserve"> and</w:t>
      </w:r>
      <w:r w:rsidRPr="003815A5">
        <w:rPr>
          <w:rFonts w:cs="Arial"/>
          <w:szCs w:val="24"/>
        </w:rPr>
        <w:t xml:space="preserve"> consultative way </w:t>
      </w:r>
      <w:r>
        <w:rPr>
          <w:rFonts w:cs="Arial"/>
          <w:szCs w:val="24"/>
        </w:rPr>
        <w:t xml:space="preserve">with patients </w:t>
      </w:r>
      <w:r w:rsidRPr="003815A5">
        <w:rPr>
          <w:rFonts w:cs="Arial"/>
          <w:szCs w:val="24"/>
        </w:rPr>
        <w:t xml:space="preserve">before </w:t>
      </w:r>
      <w:r>
        <w:rPr>
          <w:rFonts w:cs="Arial"/>
          <w:szCs w:val="24"/>
        </w:rPr>
        <w:t xml:space="preserve">being </w:t>
      </w:r>
      <w:r w:rsidRPr="003815A5">
        <w:rPr>
          <w:rFonts w:cs="Arial"/>
          <w:szCs w:val="24"/>
        </w:rPr>
        <w:t>taken.</w:t>
      </w:r>
      <w:r>
        <w:rPr>
          <w:rFonts w:cs="Arial"/>
          <w:szCs w:val="24"/>
        </w:rPr>
        <w:t xml:space="preserve"> </w:t>
      </w:r>
    </w:p>
    <w:p w14:paraId="14B125B0" w14:textId="77777777" w:rsidR="007A494D" w:rsidRDefault="007A494D" w:rsidP="007A494D">
      <w:pPr>
        <w:rPr>
          <w:rFonts w:cs="Arial"/>
          <w:szCs w:val="24"/>
        </w:rPr>
      </w:pPr>
    </w:p>
    <w:p w14:paraId="6AFF7F51" w14:textId="77777777" w:rsidR="007A494D" w:rsidRPr="001612DF" w:rsidRDefault="007A494D" w:rsidP="007A494D">
      <w:pPr>
        <w:rPr>
          <w:rFonts w:cs="Arial"/>
          <w:szCs w:val="22"/>
        </w:rPr>
      </w:pPr>
      <w:r w:rsidRPr="00097D23">
        <w:rPr>
          <w:rFonts w:cs="Arial"/>
          <w:szCs w:val="22"/>
        </w:rPr>
        <w:t xml:space="preserve">It is important that staff comply with appropriate and ethical wording when </w:t>
      </w:r>
      <w:r>
        <w:rPr>
          <w:rFonts w:cs="Arial"/>
          <w:szCs w:val="22"/>
        </w:rPr>
        <w:t>referring to larger patients</w:t>
      </w:r>
      <w:r w:rsidRPr="00097D23">
        <w:rPr>
          <w:rFonts w:cs="Arial"/>
          <w:szCs w:val="22"/>
        </w:rPr>
        <w:t xml:space="preserve">. It is generally agreed that person first language is used: e.g., "patients with obesity" rather than "obese patients". See </w:t>
      </w:r>
      <w:hyperlink r:id="rId12" w:history="1">
        <w:r w:rsidRPr="00097D23">
          <w:rPr>
            <w:rFonts w:cs="Arial"/>
            <w:szCs w:val="22"/>
          </w:rPr>
          <w:t>http://www.obesityaction.org/weight-bias-and-stigma/people-first-language-for-obesity</w:t>
        </w:r>
      </w:hyperlink>
      <w:r w:rsidRPr="00097D23">
        <w:rPr>
          <w:rFonts w:cs="Arial"/>
          <w:szCs w:val="22"/>
        </w:rPr>
        <w:t xml:space="preserve"> for further information.</w:t>
      </w:r>
    </w:p>
    <w:p w14:paraId="66C430F9" w14:textId="77777777" w:rsidR="007A494D" w:rsidRDefault="007A494D" w:rsidP="007A494D">
      <w:pPr>
        <w:rPr>
          <w:rFonts w:cs="Arial"/>
          <w:szCs w:val="24"/>
        </w:rPr>
      </w:pPr>
    </w:p>
    <w:p w14:paraId="0F97A5B0" w14:textId="77777777" w:rsidR="007A494D" w:rsidRDefault="007A494D" w:rsidP="007A494D">
      <w:pPr>
        <w:rPr>
          <w:rFonts w:cs="Arial"/>
          <w:szCs w:val="24"/>
        </w:rPr>
      </w:pPr>
      <w:r>
        <w:rPr>
          <w:rFonts w:cs="Arial"/>
          <w:szCs w:val="24"/>
        </w:rPr>
        <w:t>Obesity is a chronic disease requiring specific diagnosis. Surprisingly it is frequently under diagnosed in the hospital setting. Therefore, larger patients should be assessed for obesity</w:t>
      </w:r>
      <w:r>
        <w:rPr>
          <w:rFonts w:cs="Arial"/>
          <w:szCs w:val="24"/>
          <w:vertAlign w:val="superscript"/>
        </w:rPr>
        <w:t>3</w:t>
      </w:r>
      <w:r>
        <w:rPr>
          <w:rFonts w:cs="Arial"/>
          <w:szCs w:val="24"/>
        </w:rPr>
        <w:t xml:space="preserve">. </w:t>
      </w:r>
    </w:p>
    <w:p w14:paraId="47BC13A0" w14:textId="77777777" w:rsidR="007A494D" w:rsidRDefault="007A494D" w:rsidP="007A494D">
      <w:pPr>
        <w:rPr>
          <w:rFonts w:cs="Arial"/>
          <w:b/>
          <w:szCs w:val="24"/>
        </w:rPr>
      </w:pPr>
    </w:p>
    <w:p w14:paraId="1549ADEE" w14:textId="77777777" w:rsidR="007A494D" w:rsidRPr="009121F9" w:rsidRDefault="007A494D" w:rsidP="007A494D">
      <w:pPr>
        <w:jc w:val="right"/>
        <w:rPr>
          <w:rFonts w:cs="Arial"/>
          <w:b/>
          <w:szCs w:val="24"/>
        </w:rPr>
      </w:pPr>
      <w:hyperlink w:anchor="Contents" w:history="1">
        <w:r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A494D" w:rsidRPr="00CD1C0E" w14:paraId="592DBAD5" w14:textId="77777777" w:rsidTr="0081235F">
        <w:trPr>
          <w:cantSplit/>
          <w:trHeight w:val="285"/>
        </w:trPr>
        <w:tc>
          <w:tcPr>
            <w:tcW w:w="9158" w:type="dxa"/>
            <w:shd w:val="clear" w:color="auto" w:fill="A6A6A6" w:themeFill="background1" w:themeFillShade="A6"/>
          </w:tcPr>
          <w:p w14:paraId="46A23DE8" w14:textId="77777777" w:rsidR="007A494D" w:rsidRPr="003D2D06" w:rsidRDefault="007A494D" w:rsidP="0081235F">
            <w:pPr>
              <w:pStyle w:val="Heading1"/>
            </w:pPr>
            <w:bookmarkStart w:id="14" w:name="_Toc389473277"/>
            <w:bookmarkStart w:id="15" w:name="_Toc509388165"/>
            <w:r w:rsidRPr="003D2D06">
              <w:t>Scope</w:t>
            </w:r>
            <w:bookmarkEnd w:id="14"/>
            <w:bookmarkEnd w:id="15"/>
          </w:p>
        </w:tc>
      </w:tr>
    </w:tbl>
    <w:p w14:paraId="4A655725" w14:textId="77777777" w:rsidR="007A494D" w:rsidRPr="00CD1C0E" w:rsidRDefault="007A494D" w:rsidP="007A494D">
      <w:pPr>
        <w:rPr>
          <w:szCs w:val="24"/>
        </w:rPr>
      </w:pPr>
    </w:p>
    <w:p w14:paraId="2CCCF125" w14:textId="77777777" w:rsidR="007A494D" w:rsidRDefault="007A494D" w:rsidP="007A494D">
      <w:pPr>
        <w:rPr>
          <w:rFonts w:cs="Arial"/>
          <w:szCs w:val="24"/>
        </w:rPr>
      </w:pPr>
      <w:r w:rsidRPr="00AA698C">
        <w:rPr>
          <w:rFonts w:cs="Arial"/>
          <w:szCs w:val="24"/>
        </w:rPr>
        <w:t xml:space="preserve">This clinical procedure applies to all ACT Health staff who provide care, equipment and/or services to larger adults. </w:t>
      </w:r>
    </w:p>
    <w:p w14:paraId="4D4BF5F4" w14:textId="77777777" w:rsidR="007A494D" w:rsidRDefault="007A494D" w:rsidP="007A494D">
      <w:pPr>
        <w:rPr>
          <w:rFonts w:cs="Arial"/>
          <w:szCs w:val="24"/>
        </w:rPr>
      </w:pPr>
    </w:p>
    <w:p w14:paraId="76275F7D" w14:textId="77777777" w:rsidR="007A494D" w:rsidRDefault="007A494D" w:rsidP="007A494D">
      <w:pPr>
        <w:rPr>
          <w:rFonts w:cs="Calibri"/>
          <w:szCs w:val="24"/>
        </w:rPr>
      </w:pPr>
      <w:r w:rsidRPr="00AA698C">
        <w:rPr>
          <w:sz w:val="22"/>
          <w:szCs w:val="22"/>
        </w:rPr>
        <w:t xml:space="preserve">For the </w:t>
      </w:r>
      <w:r w:rsidRPr="00AA698C">
        <w:t xml:space="preserve">purpose of this procedure, larger patients are defined as those who weigh over 120kg and/or with a body mass index (BMI) of greater than or equal to 40. Noting that 120kg has only been chosen because </w:t>
      </w:r>
      <w:r w:rsidRPr="00AA698C">
        <w:rPr>
          <w:u w:val="single"/>
        </w:rPr>
        <w:t>most</w:t>
      </w:r>
      <w:r w:rsidRPr="00AA698C">
        <w:t xml:space="preserve"> standard equipment has a safe weight limit of 120kg.</w:t>
      </w:r>
      <w:r w:rsidRPr="0039659D">
        <w:t xml:space="preserve"> </w:t>
      </w:r>
      <w:r>
        <w:t xml:space="preserve">Larger adult (bariatric) patients are </w:t>
      </w:r>
      <w:r w:rsidRPr="00347310">
        <w:rPr>
          <w:rFonts w:cs="Calibri"/>
          <w:szCs w:val="24"/>
        </w:rPr>
        <w:t>defined as anyone who has limitations in their health care due to their physical size</w:t>
      </w:r>
      <w:r w:rsidRPr="00347310">
        <w:rPr>
          <w:rFonts w:cs="Calibri"/>
          <w:szCs w:val="24"/>
          <w:vertAlign w:val="superscript"/>
        </w:rPr>
        <w:t>3</w:t>
      </w:r>
      <w:r>
        <w:rPr>
          <w:rFonts w:cs="Calibri"/>
          <w:szCs w:val="24"/>
        </w:rPr>
        <w:t>.</w:t>
      </w:r>
    </w:p>
    <w:p w14:paraId="5F87340C" w14:textId="77777777" w:rsidR="007A494D" w:rsidRDefault="007A494D" w:rsidP="007A494D"/>
    <w:p w14:paraId="60E49117" w14:textId="77777777" w:rsidR="007A494D" w:rsidRDefault="007A494D" w:rsidP="007A494D">
      <w:r w:rsidRPr="00B4684D">
        <w:t>Key stakeholders in the management of larger patients include acute hospitals, aged care facilities, community based service providers</w:t>
      </w:r>
      <w:r>
        <w:t>,</w:t>
      </w:r>
      <w:r w:rsidRPr="00B4684D">
        <w:t xml:space="preserve"> ambulance and transport service providers, fire services, and the funeral industry.</w:t>
      </w:r>
    </w:p>
    <w:p w14:paraId="3B9F0C4D" w14:textId="77777777" w:rsidR="007A494D" w:rsidRDefault="007A494D" w:rsidP="007A494D"/>
    <w:p w14:paraId="5FA7C3DB" w14:textId="77777777" w:rsidR="007A494D" w:rsidRPr="00B03BF6" w:rsidRDefault="007A494D" w:rsidP="007A494D">
      <w:pPr>
        <w:jc w:val="right"/>
        <w:rPr>
          <w:rFonts w:cs="Arial"/>
          <w:i/>
          <w:color w:val="0000FF"/>
          <w:szCs w:val="24"/>
          <w:u w:val="single"/>
        </w:rPr>
      </w:pPr>
      <w:hyperlink w:anchor="Contents" w:history="1">
        <w:r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A494D" w:rsidRPr="00CD1C0E" w14:paraId="38310D48" w14:textId="77777777" w:rsidTr="0081235F">
        <w:trPr>
          <w:cantSplit/>
          <w:trHeight w:val="285"/>
        </w:trPr>
        <w:tc>
          <w:tcPr>
            <w:tcW w:w="9158" w:type="dxa"/>
            <w:shd w:val="clear" w:color="auto" w:fill="A6A6A6" w:themeFill="background1" w:themeFillShade="A6"/>
          </w:tcPr>
          <w:p w14:paraId="42119940" w14:textId="77777777" w:rsidR="007A494D" w:rsidRPr="003D2D06" w:rsidRDefault="007A494D" w:rsidP="0081235F">
            <w:pPr>
              <w:pStyle w:val="Heading1"/>
            </w:pPr>
            <w:bookmarkStart w:id="16" w:name="_Toc509388166"/>
            <w:r>
              <w:t>Roles and Responsibilities</w:t>
            </w:r>
            <w:bookmarkEnd w:id="16"/>
          </w:p>
        </w:tc>
      </w:tr>
    </w:tbl>
    <w:p w14:paraId="4CD7659D" w14:textId="77777777" w:rsidR="007A494D" w:rsidRDefault="007A494D" w:rsidP="007A494D"/>
    <w:p w14:paraId="7E62056F" w14:textId="77777777" w:rsidR="007A494D" w:rsidRPr="00AC7FC6" w:rsidRDefault="007A494D" w:rsidP="007A494D">
      <w:pPr>
        <w:rPr>
          <w:rFonts w:cs="Calibri"/>
          <w:b/>
          <w:szCs w:val="24"/>
        </w:rPr>
      </w:pPr>
      <w:r>
        <w:rPr>
          <w:rFonts w:cs="Calibri"/>
          <w:b/>
          <w:szCs w:val="24"/>
        </w:rPr>
        <w:t xml:space="preserve">All </w:t>
      </w:r>
      <w:r w:rsidRPr="00AC7FC6">
        <w:rPr>
          <w:rFonts w:cs="Calibri"/>
          <w:b/>
          <w:szCs w:val="24"/>
        </w:rPr>
        <w:t>ACT Health staff should:</w:t>
      </w:r>
    </w:p>
    <w:p w14:paraId="11776585" w14:textId="77777777" w:rsidR="007A494D" w:rsidRPr="0002750F" w:rsidRDefault="007A494D" w:rsidP="007A494D">
      <w:pPr>
        <w:pStyle w:val="ListBullet"/>
      </w:pPr>
      <w:r w:rsidRPr="0002750F">
        <w:t>Meet the needs of larger patients promptly and with respect and dignity.</w:t>
      </w:r>
    </w:p>
    <w:p w14:paraId="2C7E4BE6" w14:textId="77777777" w:rsidR="007A494D" w:rsidRPr="0005539F" w:rsidRDefault="007A494D" w:rsidP="007A494D">
      <w:pPr>
        <w:pStyle w:val="ListBullet"/>
      </w:pPr>
      <w:r w:rsidRPr="0005539F">
        <w:t xml:space="preserve">Recognise that the management of obesity is a field with a rapidly developing evidence base, and does not belong to any one recognised clinical specialty. Given this, all clinical staff should ensure they keep up to date about the management of obesity within their own scope of practice </w:t>
      </w:r>
      <w:r>
        <w:rPr>
          <w:vertAlign w:val="superscript"/>
        </w:rPr>
        <w:t>1,2</w:t>
      </w:r>
      <w:r w:rsidRPr="0005539F">
        <w:t>.</w:t>
      </w:r>
    </w:p>
    <w:p w14:paraId="04329352" w14:textId="77777777" w:rsidR="007A494D" w:rsidRPr="00F117D5" w:rsidRDefault="007A494D" w:rsidP="007A494D">
      <w:pPr>
        <w:pStyle w:val="ListBullet"/>
      </w:pPr>
      <w:r>
        <w:t xml:space="preserve">Safely </w:t>
      </w:r>
      <w:r w:rsidRPr="00F117D5">
        <w:t>move and handle larger patients to reduce the risk of injury to them</w:t>
      </w:r>
      <w:r>
        <w:t>s</w:t>
      </w:r>
      <w:r w:rsidRPr="00F117D5">
        <w:t>elves and their patients</w:t>
      </w:r>
      <w:r>
        <w:t xml:space="preserve">. </w:t>
      </w:r>
      <w:r w:rsidRPr="00F117D5">
        <w:t>Correct equipment, training and staffing levels can assist in reducing this risk.</w:t>
      </w:r>
    </w:p>
    <w:p w14:paraId="234A5F52" w14:textId="77777777" w:rsidR="007A494D" w:rsidRPr="00F117D5" w:rsidRDefault="007A494D" w:rsidP="007A494D">
      <w:pPr>
        <w:pStyle w:val="ListBullet"/>
      </w:pPr>
      <w:r w:rsidRPr="00F117D5">
        <w:t xml:space="preserve">Use their professional judgement to assess the needs of individual patients in </w:t>
      </w:r>
      <w:r>
        <w:t xml:space="preserve">partnership </w:t>
      </w:r>
      <w:r w:rsidRPr="00F117D5">
        <w:t>with the patient/carer. For example, some large patients may not require specific equipment or care requirements. Similarly, some patients with a lower BMI or weight may need specialised equipment due to their health status or immobility.</w:t>
      </w:r>
    </w:p>
    <w:p w14:paraId="77379EE8" w14:textId="77777777" w:rsidR="007A494D" w:rsidRPr="0064585E" w:rsidRDefault="007A494D" w:rsidP="007A494D">
      <w:pPr>
        <w:pStyle w:val="ListBullet"/>
        <w:rPr>
          <w:i/>
        </w:rPr>
      </w:pPr>
      <w:r w:rsidRPr="0064585E">
        <w:t xml:space="preserve">In order for </w:t>
      </w:r>
      <w:r>
        <w:t xml:space="preserve">the Clinical Record Service </w:t>
      </w:r>
      <w:r w:rsidRPr="0064585E">
        <w:t xml:space="preserve">to code the patient for </w:t>
      </w:r>
      <w:r>
        <w:t>o</w:t>
      </w:r>
      <w:r w:rsidRPr="0064585E">
        <w:t xml:space="preserve">besity, clinical staff need to document </w:t>
      </w:r>
      <w:r>
        <w:t>the word</w:t>
      </w:r>
      <w:r w:rsidRPr="0064585E">
        <w:t xml:space="preserve"> “</w:t>
      </w:r>
      <w:r>
        <w:t>o</w:t>
      </w:r>
      <w:r w:rsidRPr="0064585E">
        <w:t xml:space="preserve">besity” in the patient’s medical record and also document related interventions. </w:t>
      </w:r>
    </w:p>
    <w:p w14:paraId="2BD82D7B" w14:textId="77777777" w:rsidR="007A494D" w:rsidRPr="0064585E" w:rsidRDefault="007A494D" w:rsidP="007A494D">
      <w:pPr>
        <w:pStyle w:val="ListBullet"/>
        <w:rPr>
          <w:i/>
        </w:rPr>
      </w:pPr>
      <w:r>
        <w:t>If the treating team make a diagnosis of obesity and document it in the clinical record, they must also have a conversation with the patient to ensure they are aware of this diagnosis and discuss relevant information.</w:t>
      </w:r>
      <w:r w:rsidRPr="0064585E">
        <w:rPr>
          <w:i/>
        </w:rPr>
        <w:t xml:space="preserve"> </w:t>
      </w:r>
    </w:p>
    <w:p w14:paraId="1F55A39F" w14:textId="77777777" w:rsidR="007A494D" w:rsidRPr="0064585E" w:rsidRDefault="007A494D" w:rsidP="007A494D">
      <w:pPr>
        <w:pStyle w:val="ListBullet"/>
      </w:pPr>
      <w:r w:rsidRPr="0064585E">
        <w:t xml:space="preserve">Consider the needs of larger adult patients when developing or reviewing </w:t>
      </w:r>
      <w:r>
        <w:t>policies and procedures.</w:t>
      </w:r>
    </w:p>
    <w:p w14:paraId="3372DFBB" w14:textId="77777777" w:rsidR="007A494D" w:rsidRDefault="007A494D" w:rsidP="007A494D">
      <w:pPr>
        <w:rPr>
          <w:rFonts w:cs="Calibri"/>
          <w:b/>
          <w:szCs w:val="24"/>
        </w:rPr>
      </w:pPr>
    </w:p>
    <w:p w14:paraId="58FDE206" w14:textId="77777777" w:rsidR="007A494D" w:rsidRPr="00F117D5" w:rsidRDefault="007A494D" w:rsidP="007A494D">
      <w:pPr>
        <w:rPr>
          <w:rFonts w:cs="Calibri"/>
          <w:b/>
          <w:szCs w:val="24"/>
        </w:rPr>
      </w:pPr>
      <w:r w:rsidRPr="00F117D5">
        <w:rPr>
          <w:rFonts w:cs="Calibri"/>
          <w:b/>
          <w:szCs w:val="24"/>
        </w:rPr>
        <w:t>Managers</w:t>
      </w:r>
    </w:p>
    <w:p w14:paraId="1ED4D8E6" w14:textId="77777777" w:rsidR="007A494D" w:rsidRPr="00F117D5" w:rsidRDefault="007A494D" w:rsidP="007A494D">
      <w:pPr>
        <w:pStyle w:val="ListBullet"/>
      </w:pPr>
      <w:r w:rsidRPr="00F117D5">
        <w:t>Bring this procedure to the attention of their staff in staff meetings and / or clinical care discussions.</w:t>
      </w:r>
    </w:p>
    <w:p w14:paraId="6691A56D" w14:textId="77777777" w:rsidR="007A494D" w:rsidRPr="00F117D5" w:rsidRDefault="007A494D" w:rsidP="007A494D">
      <w:pPr>
        <w:pStyle w:val="ListBullet"/>
      </w:pPr>
      <w:r w:rsidRPr="00F117D5">
        <w:t xml:space="preserve">Manage compliance with this </w:t>
      </w:r>
      <w:r>
        <w:t>procedure</w:t>
      </w:r>
      <w:r w:rsidRPr="00F117D5">
        <w:t xml:space="preserve"> in their area and consider the requirements of larger patients when reviewing local procedures. </w:t>
      </w:r>
    </w:p>
    <w:p w14:paraId="7C843770" w14:textId="77777777" w:rsidR="007A494D" w:rsidRPr="00F117D5" w:rsidRDefault="007A494D" w:rsidP="007A494D">
      <w:pPr>
        <w:pStyle w:val="ListBullet"/>
      </w:pPr>
      <w:r w:rsidRPr="00F117D5">
        <w:t xml:space="preserve">Provide staff with opportunities to attend </w:t>
      </w:r>
      <w:r>
        <w:t xml:space="preserve">mandatory </w:t>
      </w:r>
      <w:r w:rsidRPr="00F117D5">
        <w:t xml:space="preserve">education and training relating to this </w:t>
      </w:r>
      <w:r>
        <w:t>procedure</w:t>
      </w:r>
      <w:r w:rsidRPr="00F117D5">
        <w:t>.</w:t>
      </w:r>
    </w:p>
    <w:p w14:paraId="774FB2A7" w14:textId="77777777" w:rsidR="007A494D" w:rsidRPr="00F117D5" w:rsidRDefault="007A494D" w:rsidP="007A494D">
      <w:pPr>
        <w:pStyle w:val="ListBullet"/>
      </w:pPr>
      <w:r w:rsidRPr="00F117D5">
        <w:t>Make sure that the correct equipment is available and used for the safe handling of larger patients.</w:t>
      </w:r>
    </w:p>
    <w:p w14:paraId="4785B152" w14:textId="77777777" w:rsidR="007A494D" w:rsidRDefault="007A494D" w:rsidP="007A494D">
      <w:pPr>
        <w:rPr>
          <w:rFonts w:cs="Calibri"/>
          <w:b/>
          <w:szCs w:val="24"/>
        </w:rPr>
      </w:pPr>
    </w:p>
    <w:p w14:paraId="15F35976" w14:textId="77777777" w:rsidR="007A494D" w:rsidRDefault="007A494D" w:rsidP="007A494D">
      <w:pPr>
        <w:rPr>
          <w:rFonts w:cs="Calibri"/>
          <w:b/>
          <w:szCs w:val="24"/>
        </w:rPr>
      </w:pPr>
    </w:p>
    <w:p w14:paraId="6EF06BFB" w14:textId="77777777" w:rsidR="007A494D" w:rsidRPr="00F117D5" w:rsidRDefault="007A494D" w:rsidP="007A494D">
      <w:pPr>
        <w:rPr>
          <w:rFonts w:cs="Calibri"/>
          <w:b/>
          <w:szCs w:val="24"/>
        </w:rPr>
      </w:pPr>
      <w:r w:rsidRPr="00F117D5">
        <w:rPr>
          <w:rFonts w:cs="Calibri"/>
          <w:b/>
          <w:szCs w:val="24"/>
        </w:rPr>
        <w:t>Manual Handling Educators</w:t>
      </w:r>
    </w:p>
    <w:p w14:paraId="186B6A2E" w14:textId="77777777" w:rsidR="007A494D" w:rsidRPr="00F117D5" w:rsidRDefault="007A494D" w:rsidP="007A494D">
      <w:pPr>
        <w:pStyle w:val="ListBullet"/>
        <w:rPr>
          <w:b/>
        </w:rPr>
      </w:pPr>
      <w:r w:rsidRPr="00F117D5">
        <w:t>Provide specialist advice to staff on manual handling issues relating to caring for larger patients.</w:t>
      </w:r>
    </w:p>
    <w:p w14:paraId="6BD5330F" w14:textId="77777777" w:rsidR="007A494D" w:rsidRDefault="007A494D" w:rsidP="007A494D">
      <w:pPr>
        <w:jc w:val="right"/>
      </w:pPr>
    </w:p>
    <w:p w14:paraId="6D14CA2C" w14:textId="77777777" w:rsidR="007A494D" w:rsidRPr="00B03BF6" w:rsidRDefault="007A494D" w:rsidP="007A494D">
      <w:pPr>
        <w:jc w:val="right"/>
        <w:rPr>
          <w:rFonts w:cs="Arial"/>
          <w:i/>
          <w:color w:val="0000FF"/>
          <w:szCs w:val="24"/>
          <w:u w:val="single"/>
        </w:rPr>
      </w:pPr>
      <w:hyperlink w:anchor="Contents" w:history="1">
        <w:r w:rsidRPr="00590902">
          <w:rPr>
            <w:rStyle w:val="Hyperlink"/>
            <w:rFonts w:cs="Arial"/>
            <w:i/>
            <w:szCs w:val="24"/>
          </w:rPr>
          <w:t>Back to Table of Contents</w:t>
        </w:r>
      </w:hyperlink>
      <w:bookmarkStart w:id="17" w:name="_Toc389473278"/>
    </w:p>
    <w:tbl>
      <w:tblPr>
        <w:tblpPr w:leftFromText="180" w:rightFromText="180" w:vertAnchor="text" w:horzAnchor="margin" w:tblpY="181"/>
        <w:tblW w:w="9158" w:type="dxa"/>
        <w:tblLook w:val="0000" w:firstRow="0" w:lastRow="0" w:firstColumn="0" w:lastColumn="0" w:noHBand="0" w:noVBand="0"/>
      </w:tblPr>
      <w:tblGrid>
        <w:gridCol w:w="9158"/>
      </w:tblGrid>
      <w:tr w:rsidR="007A494D" w:rsidRPr="00CD1C0E" w14:paraId="0A5A01AD" w14:textId="77777777" w:rsidTr="0081235F">
        <w:trPr>
          <w:cantSplit/>
          <w:trHeight w:val="285"/>
        </w:trPr>
        <w:tc>
          <w:tcPr>
            <w:tcW w:w="9158" w:type="dxa"/>
            <w:shd w:val="clear" w:color="auto" w:fill="A6A6A6" w:themeFill="background1" w:themeFillShade="A6"/>
          </w:tcPr>
          <w:p w14:paraId="519CE069" w14:textId="77777777" w:rsidR="007A494D" w:rsidRPr="00C76688" w:rsidRDefault="007A494D" w:rsidP="0081235F">
            <w:pPr>
              <w:pStyle w:val="Heading1"/>
            </w:pPr>
            <w:bookmarkStart w:id="18" w:name="_Toc509388167"/>
            <w:r w:rsidRPr="00C76688">
              <w:t>Section 1 –</w:t>
            </w:r>
            <w:r>
              <w:t xml:space="preserve"> </w:t>
            </w:r>
            <w:bookmarkEnd w:id="17"/>
            <w:r>
              <w:t>General Care of Larger Adult Patients</w:t>
            </w:r>
            <w:bookmarkEnd w:id="18"/>
          </w:p>
        </w:tc>
      </w:tr>
    </w:tbl>
    <w:p w14:paraId="39FF020B" w14:textId="77777777" w:rsidR="007A494D" w:rsidRDefault="007A494D" w:rsidP="007A494D">
      <w:pPr>
        <w:outlineLvl w:val="0"/>
        <w:rPr>
          <w:szCs w:val="24"/>
        </w:rPr>
      </w:pPr>
    </w:p>
    <w:p w14:paraId="06FE42AE" w14:textId="77777777" w:rsidR="007A494D" w:rsidRDefault="007A494D" w:rsidP="007A494D">
      <w:pPr>
        <w:rPr>
          <w:rStyle w:val="Heading2Char"/>
        </w:rPr>
      </w:pPr>
      <w:bookmarkStart w:id="19" w:name="_Toc509388168"/>
      <w:r>
        <w:rPr>
          <w:rStyle w:val="Heading2Char"/>
        </w:rPr>
        <w:t xml:space="preserve">1.1 </w:t>
      </w:r>
      <w:r w:rsidRPr="005B37F7">
        <w:rPr>
          <w:rStyle w:val="Heading2Char"/>
        </w:rPr>
        <w:t>Planning for admisison of a larger patient</w:t>
      </w:r>
      <w:bookmarkEnd w:id="19"/>
    </w:p>
    <w:p w14:paraId="6350C927" w14:textId="77777777" w:rsidR="007A494D" w:rsidRPr="00B4684D" w:rsidRDefault="007A494D" w:rsidP="007A494D">
      <w:pPr>
        <w:rPr>
          <w:rFonts w:cs="Arial"/>
          <w:szCs w:val="22"/>
        </w:rPr>
      </w:pPr>
      <w:r w:rsidRPr="00B4684D">
        <w:rPr>
          <w:rFonts w:cs="Arial"/>
          <w:szCs w:val="22"/>
        </w:rPr>
        <w:t xml:space="preserve">Where possible, planning of facilities, equipment and staff expertise need to occur from admission through to discharge. </w:t>
      </w:r>
    </w:p>
    <w:p w14:paraId="2D41C2FF" w14:textId="77777777" w:rsidR="007A494D" w:rsidRDefault="007A494D" w:rsidP="007A494D">
      <w:pPr>
        <w:outlineLvl w:val="0"/>
        <w:rPr>
          <w:i/>
          <w:szCs w:val="22"/>
        </w:rPr>
      </w:pPr>
    </w:p>
    <w:p w14:paraId="4EE284B5" w14:textId="77777777" w:rsidR="007A494D" w:rsidRPr="00B4684D" w:rsidRDefault="007A494D" w:rsidP="007A494D">
      <w:pPr>
        <w:outlineLvl w:val="0"/>
        <w:rPr>
          <w:i/>
          <w:szCs w:val="22"/>
        </w:rPr>
      </w:pPr>
      <w:r w:rsidRPr="00B4684D">
        <w:rPr>
          <w:i/>
          <w:szCs w:val="22"/>
        </w:rPr>
        <w:t>Communication</w:t>
      </w:r>
    </w:p>
    <w:p w14:paraId="6309E5F3" w14:textId="77777777" w:rsidR="007A494D" w:rsidRPr="00B4684D" w:rsidRDefault="007A494D" w:rsidP="007A494D">
      <w:pPr>
        <w:tabs>
          <w:tab w:val="left" w:pos="426"/>
        </w:tabs>
        <w:rPr>
          <w:rFonts w:cs="Arial"/>
          <w:szCs w:val="22"/>
        </w:rPr>
      </w:pPr>
      <w:r w:rsidRPr="00B4684D">
        <w:rPr>
          <w:rFonts w:cs="Arial"/>
          <w:szCs w:val="22"/>
        </w:rPr>
        <w:t xml:space="preserve">Communicate with </w:t>
      </w:r>
      <w:r>
        <w:rPr>
          <w:rFonts w:cs="Arial"/>
          <w:szCs w:val="22"/>
        </w:rPr>
        <w:t>m</w:t>
      </w:r>
      <w:r w:rsidRPr="00B4684D">
        <w:rPr>
          <w:rFonts w:cs="Arial"/>
          <w:szCs w:val="22"/>
        </w:rPr>
        <w:t>anagers and staff to provide accurate, timely information about the patient and their needs while respecting the patient’s confidentiality.</w:t>
      </w:r>
    </w:p>
    <w:p w14:paraId="0DC77F16" w14:textId="77777777" w:rsidR="007A494D" w:rsidRPr="00B4684D" w:rsidRDefault="007A494D" w:rsidP="007A494D">
      <w:pPr>
        <w:rPr>
          <w:rFonts w:cs="Arial"/>
          <w:sz w:val="18"/>
          <w:szCs w:val="16"/>
        </w:rPr>
      </w:pPr>
    </w:p>
    <w:p w14:paraId="3963205F" w14:textId="77777777" w:rsidR="007A494D" w:rsidRDefault="007A494D" w:rsidP="007A494D">
      <w:pPr>
        <w:rPr>
          <w:rFonts w:cs="Arial"/>
          <w:szCs w:val="22"/>
        </w:rPr>
      </w:pPr>
      <w:r w:rsidRPr="00B4684D">
        <w:rPr>
          <w:rFonts w:cs="Arial"/>
          <w:szCs w:val="22"/>
        </w:rPr>
        <w:t>Communicate with the patient in a way that makes the patient feel safe, comfortable and cared for. At minimum, explain why specific equipment and procedures are used to move people, discuss treatment and rehabilitation plans.</w:t>
      </w:r>
    </w:p>
    <w:p w14:paraId="2ADDAAE3" w14:textId="77777777" w:rsidR="007A494D" w:rsidRPr="00B4684D" w:rsidRDefault="007A494D" w:rsidP="007A494D">
      <w:pPr>
        <w:rPr>
          <w:rFonts w:cs="Arial"/>
          <w:szCs w:val="22"/>
        </w:rPr>
      </w:pPr>
    </w:p>
    <w:p w14:paraId="14F1A028" w14:textId="77777777" w:rsidR="007A494D" w:rsidRPr="00B4684D" w:rsidRDefault="007A494D" w:rsidP="007A494D">
      <w:pPr>
        <w:outlineLvl w:val="0"/>
        <w:rPr>
          <w:i/>
          <w:szCs w:val="22"/>
        </w:rPr>
      </w:pPr>
      <w:r w:rsidRPr="00B4684D">
        <w:rPr>
          <w:i/>
          <w:szCs w:val="22"/>
        </w:rPr>
        <w:t>Admission</w:t>
      </w:r>
    </w:p>
    <w:p w14:paraId="1499E245" w14:textId="77777777" w:rsidR="007A494D" w:rsidRPr="00B4684D" w:rsidRDefault="007A494D" w:rsidP="007A494D">
      <w:pPr>
        <w:pStyle w:val="ListBullet"/>
      </w:pPr>
      <w:r w:rsidRPr="00B4684D">
        <w:t>Identify risks, goals and resources to reduce risks to the patient and staff. Regular updates are required during care.</w:t>
      </w:r>
    </w:p>
    <w:p w14:paraId="6E8A2C55" w14:textId="77777777" w:rsidR="007A494D" w:rsidRPr="00B4684D" w:rsidRDefault="007A494D" w:rsidP="007A494D">
      <w:pPr>
        <w:pStyle w:val="ListBullet"/>
      </w:pPr>
      <w:r w:rsidRPr="00B4684D">
        <w:t>Assess the patient’s required level of assistance, weight bearing capability and ability to assist during repositioning, transferring and ambulation. Consider conditions likely to affect repositioning such as hip and knee replacements, respiratory and cardiac conditions.</w:t>
      </w:r>
    </w:p>
    <w:p w14:paraId="45D3ACB8" w14:textId="77777777" w:rsidR="007A494D" w:rsidRPr="00B4684D" w:rsidRDefault="007A494D" w:rsidP="007A494D">
      <w:pPr>
        <w:pStyle w:val="ListBullet"/>
      </w:pPr>
      <w:r w:rsidRPr="00B4684D">
        <w:t>Determine the best location to manage the patient.</w:t>
      </w:r>
    </w:p>
    <w:p w14:paraId="6495E1CA" w14:textId="77777777" w:rsidR="007A494D" w:rsidRPr="00B4684D" w:rsidRDefault="007A494D" w:rsidP="007A494D">
      <w:pPr>
        <w:pStyle w:val="ListBullet"/>
      </w:pPr>
      <w:r w:rsidRPr="00B4684D">
        <w:t>Assess corridors, hallways, patient’s room and treatment areas to ensure they are wide enough, and that the maximum capacity of any lifts is sufficient.</w:t>
      </w:r>
    </w:p>
    <w:p w14:paraId="6503DF24" w14:textId="77777777" w:rsidR="007A494D" w:rsidRPr="00B4684D" w:rsidRDefault="007A494D" w:rsidP="007A494D">
      <w:pPr>
        <w:pStyle w:val="ListBullet"/>
      </w:pPr>
      <w:r w:rsidRPr="00B4684D">
        <w:t>Organise transport from ambulance or vehicle to admission area.</w:t>
      </w:r>
    </w:p>
    <w:p w14:paraId="60946355" w14:textId="77777777" w:rsidR="007A494D" w:rsidRPr="00B4684D" w:rsidRDefault="007A494D" w:rsidP="007A494D">
      <w:pPr>
        <w:pStyle w:val="ListBullet"/>
      </w:pPr>
      <w:r w:rsidRPr="00B4684D">
        <w:t>Record the patient’s existing conditions, weight and height.</w:t>
      </w:r>
    </w:p>
    <w:p w14:paraId="37B3AC5D" w14:textId="77777777" w:rsidR="007A494D" w:rsidRPr="00B4684D" w:rsidRDefault="007A494D" w:rsidP="007A494D">
      <w:pPr>
        <w:pStyle w:val="ListBullet"/>
      </w:pPr>
      <w:r w:rsidRPr="00B4684D">
        <w:t>Brief the patient and family on manual handling procedures for larger patients.</w:t>
      </w:r>
    </w:p>
    <w:p w14:paraId="02E848A0" w14:textId="77777777" w:rsidR="007A494D" w:rsidRPr="00B4684D" w:rsidRDefault="007A494D" w:rsidP="007A494D">
      <w:pPr>
        <w:pStyle w:val="ListBullet"/>
      </w:pPr>
      <w:r w:rsidRPr="00B4684D">
        <w:t>Check suitability and availability of equipment and resources for moving and handling the patient.</w:t>
      </w:r>
    </w:p>
    <w:p w14:paraId="2436D7A0" w14:textId="77777777" w:rsidR="007A494D" w:rsidRPr="00B4684D" w:rsidRDefault="007A494D" w:rsidP="007A494D">
      <w:pPr>
        <w:pStyle w:val="ListBullet"/>
      </w:pPr>
      <w:r w:rsidRPr="00B4684D">
        <w:t>Check availability of appropriate gowns, bedpans and slide sheets.</w:t>
      </w:r>
    </w:p>
    <w:p w14:paraId="66FAE320" w14:textId="77777777" w:rsidR="007A494D" w:rsidRPr="00B4684D" w:rsidRDefault="007A494D" w:rsidP="007A494D">
      <w:pPr>
        <w:pStyle w:val="ListBullet"/>
      </w:pPr>
      <w:r w:rsidRPr="00B4684D">
        <w:t>Where possible inform all services providing care of the patient during the admission.</w:t>
      </w:r>
    </w:p>
    <w:p w14:paraId="41E836D7" w14:textId="77777777" w:rsidR="007A494D" w:rsidRPr="00B4684D" w:rsidRDefault="007A494D" w:rsidP="007A494D">
      <w:pPr>
        <w:pStyle w:val="ListBullet"/>
        <w:rPr>
          <w:b/>
          <w:sz w:val="28"/>
          <w:szCs w:val="24"/>
        </w:rPr>
      </w:pPr>
      <w:r w:rsidRPr="00B4684D">
        <w:t>Prepare a preliminary discharge plan.</w:t>
      </w:r>
    </w:p>
    <w:p w14:paraId="048CA562" w14:textId="77777777" w:rsidR="007A494D" w:rsidRDefault="007A494D" w:rsidP="007A494D"/>
    <w:p w14:paraId="22B15AD3" w14:textId="77777777" w:rsidR="007A494D" w:rsidRPr="0095069E" w:rsidRDefault="007A494D" w:rsidP="007A494D">
      <w:pPr>
        <w:pStyle w:val="Heading2"/>
      </w:pPr>
      <w:bookmarkStart w:id="20" w:name="_Toc509388169"/>
      <w:r>
        <w:t xml:space="preserve">1.2 </w:t>
      </w:r>
      <w:r w:rsidRPr="0095069E">
        <w:t xml:space="preserve">Weighing </w:t>
      </w:r>
      <w:r>
        <w:t>of patients:</w:t>
      </w:r>
      <w:bookmarkEnd w:id="20"/>
      <w:r w:rsidRPr="0095069E">
        <w:t xml:space="preserve"> </w:t>
      </w:r>
    </w:p>
    <w:p w14:paraId="08F6094D" w14:textId="77777777" w:rsidR="007A494D" w:rsidRDefault="007A494D" w:rsidP="007A494D">
      <w:r w:rsidRPr="0074609F">
        <w:rPr>
          <w:rFonts w:cs="Arial"/>
          <w:szCs w:val="24"/>
        </w:rPr>
        <w:t xml:space="preserve">All patients should </w:t>
      </w:r>
      <w:r>
        <w:rPr>
          <w:rFonts w:cs="Arial"/>
          <w:szCs w:val="24"/>
        </w:rPr>
        <w:t>have their weight measured</w:t>
      </w:r>
      <w:r w:rsidRPr="0074609F">
        <w:rPr>
          <w:rFonts w:cs="Arial"/>
          <w:szCs w:val="24"/>
          <w:vertAlign w:val="superscript"/>
        </w:rPr>
        <w:t xml:space="preserve">1,4 </w:t>
      </w:r>
      <w:r>
        <w:rPr>
          <w:rFonts w:cs="Arial"/>
          <w:szCs w:val="24"/>
          <w:vertAlign w:val="superscript"/>
        </w:rPr>
        <w:t xml:space="preserve"> </w:t>
      </w:r>
      <w:r>
        <w:rPr>
          <w:rFonts w:cs="Arial"/>
          <w:szCs w:val="24"/>
        </w:rPr>
        <w:t xml:space="preserve"> and documented</w:t>
      </w:r>
      <w:r w:rsidRPr="0074609F">
        <w:rPr>
          <w:rFonts w:cs="Arial"/>
          <w:szCs w:val="24"/>
        </w:rPr>
        <w:t xml:space="preserve"> on admission unless contraindicated.</w:t>
      </w:r>
      <w:r>
        <w:rPr>
          <w:rFonts w:cs="Arial"/>
          <w:szCs w:val="24"/>
        </w:rPr>
        <w:t xml:space="preserve"> </w:t>
      </w:r>
      <w:r w:rsidRPr="00AA698C">
        <w:rPr>
          <w:rFonts w:cs="Arial"/>
          <w:szCs w:val="24"/>
        </w:rPr>
        <w:t>Weights should be recorded in general observation charts and the Electronic Medication Management (Medchart) System.</w:t>
      </w:r>
      <w:r>
        <w:rPr>
          <w:rFonts w:cs="Arial"/>
          <w:szCs w:val="24"/>
        </w:rPr>
        <w:t xml:space="preserve"> </w:t>
      </w:r>
      <w:r w:rsidRPr="004A0A3E">
        <w:t>Determ</w:t>
      </w:r>
      <w:r>
        <w:t>ine an accurate weight, height</w:t>
      </w:r>
      <w:r w:rsidRPr="004A0A3E">
        <w:t>, mobility level,</w:t>
      </w:r>
      <w:r>
        <w:t xml:space="preserve"> waist circumference</w:t>
      </w:r>
      <w:r w:rsidRPr="004A0A3E">
        <w:t>, and</w:t>
      </w:r>
      <w:r>
        <w:t xml:space="preserve"> weight distribution/body type.</w:t>
      </w:r>
      <w:r w:rsidRPr="004A0A3E">
        <w:t xml:space="preserve"> </w:t>
      </w:r>
      <w:r>
        <w:t xml:space="preserve">During extended or repeated inpatient admissions, the weight of larger patients should be rechecked. The frequency will depend on their treatment regimen and clinical judgement. Any significant changes or trends should be brought to the attention of the treating medical team.  </w:t>
      </w:r>
    </w:p>
    <w:p w14:paraId="61CF8EBC" w14:textId="77777777" w:rsidR="007A494D" w:rsidRPr="009E33DF" w:rsidRDefault="007A494D" w:rsidP="007A494D"/>
    <w:p w14:paraId="72A3B23D" w14:textId="77777777" w:rsidR="007A494D" w:rsidRDefault="007A494D" w:rsidP="007A494D">
      <w:pPr>
        <w:rPr>
          <w:rFonts w:cs="Arial"/>
          <w:szCs w:val="24"/>
        </w:rPr>
      </w:pPr>
      <w:r>
        <w:rPr>
          <w:rFonts w:cs="Arial"/>
          <w:szCs w:val="24"/>
        </w:rPr>
        <w:t>For o</w:t>
      </w:r>
      <w:r w:rsidRPr="00B8541D">
        <w:rPr>
          <w:rFonts w:cs="Arial"/>
          <w:szCs w:val="24"/>
        </w:rPr>
        <w:t>utpatients</w:t>
      </w:r>
      <w:r w:rsidRPr="00B8541D">
        <w:rPr>
          <w:rFonts w:cs="Arial"/>
          <w:b/>
          <w:szCs w:val="24"/>
        </w:rPr>
        <w:t xml:space="preserve"> </w:t>
      </w:r>
      <w:r>
        <w:rPr>
          <w:rFonts w:cs="Arial"/>
          <w:szCs w:val="24"/>
        </w:rPr>
        <w:t>and home visiting s</w:t>
      </w:r>
      <w:r w:rsidRPr="00B8541D">
        <w:rPr>
          <w:rFonts w:cs="Arial"/>
          <w:szCs w:val="24"/>
        </w:rPr>
        <w:t>ervices</w:t>
      </w:r>
      <w:r>
        <w:rPr>
          <w:rFonts w:cs="Arial"/>
          <w:szCs w:val="24"/>
        </w:rPr>
        <w:t>:</w:t>
      </w:r>
    </w:p>
    <w:p w14:paraId="0CF9B63D" w14:textId="77777777" w:rsidR="007A494D" w:rsidRPr="00B26588" w:rsidRDefault="007A494D" w:rsidP="007A494D">
      <w:pPr>
        <w:pStyle w:val="ListBullet"/>
        <w:rPr>
          <w:rFonts w:cs="Arial"/>
          <w:b/>
          <w:color w:val="FF0000"/>
          <w:sz w:val="16"/>
          <w:szCs w:val="16"/>
        </w:rPr>
      </w:pPr>
      <w:r>
        <w:t>I</w:t>
      </w:r>
      <w:r w:rsidRPr="00B8541D">
        <w:t>t is recommended that the patients’ and staff equipment, and other needs are investigated when</w:t>
      </w:r>
      <w:r>
        <w:t xml:space="preserve"> making the</w:t>
      </w:r>
      <w:r w:rsidRPr="00B8541D">
        <w:t xml:space="preserve"> initial appointment. For home visits this </w:t>
      </w:r>
      <w:r w:rsidRPr="00B26588">
        <w:rPr>
          <w:u w:val="single"/>
        </w:rPr>
        <w:t>may</w:t>
      </w:r>
      <w:r w:rsidRPr="00B8541D">
        <w:t xml:space="preserve"> include asking for height, weight and </w:t>
      </w:r>
      <w:r>
        <w:t xml:space="preserve">waist circumference </w:t>
      </w:r>
      <w:r w:rsidRPr="00B8541D">
        <w:t>measurements over the phone. If the weight is verbally reported, an accurate weight should be measured as soon as practical.</w:t>
      </w:r>
      <w:r>
        <w:t xml:space="preserve"> Community weigh scales are accessible at the Independent Living Centre (see the consumer handout ‘Community Weigh Scales’ on the ACT Health Policy Register). </w:t>
      </w:r>
    </w:p>
    <w:p w14:paraId="62D1012C" w14:textId="77777777" w:rsidR="007A494D" w:rsidRPr="00B26588" w:rsidRDefault="007A494D" w:rsidP="007A494D">
      <w:pPr>
        <w:pStyle w:val="ListBullet"/>
        <w:numPr>
          <w:ilvl w:val="0"/>
          <w:numId w:val="0"/>
        </w:numPr>
        <w:ind w:left="360"/>
        <w:rPr>
          <w:rFonts w:cs="Arial"/>
          <w:b/>
          <w:color w:val="FF0000"/>
          <w:sz w:val="16"/>
          <w:szCs w:val="16"/>
        </w:rPr>
      </w:pPr>
    </w:p>
    <w:p w14:paraId="0726EBF9" w14:textId="77777777" w:rsidR="007A494D" w:rsidRDefault="007A494D" w:rsidP="007A494D">
      <w:pPr>
        <w:rPr>
          <w:rFonts w:cs="Arial"/>
          <w:b/>
          <w:color w:val="FF0000"/>
          <w:szCs w:val="24"/>
        </w:rPr>
      </w:pPr>
      <w:r w:rsidRPr="004A0A3E">
        <w:rPr>
          <w:rFonts w:cs="Arial"/>
          <w:b/>
          <w:color w:val="FF0000"/>
          <w:szCs w:val="24"/>
        </w:rPr>
        <w:t>If the weighing of the patient has potential to create a manual handling risk, please go to 1.</w:t>
      </w:r>
      <w:r>
        <w:rPr>
          <w:rFonts w:cs="Arial"/>
          <w:b/>
          <w:color w:val="FF0000"/>
          <w:szCs w:val="24"/>
        </w:rPr>
        <w:t>3</w:t>
      </w:r>
      <w:r w:rsidRPr="004A0A3E">
        <w:rPr>
          <w:rFonts w:cs="Arial"/>
          <w:b/>
          <w:color w:val="FF0000"/>
          <w:szCs w:val="24"/>
        </w:rPr>
        <w:t xml:space="preserve"> before proceeding.</w:t>
      </w:r>
    </w:p>
    <w:p w14:paraId="7B377403" w14:textId="77777777" w:rsidR="007A494D" w:rsidRPr="004A0A3E" w:rsidRDefault="007A494D" w:rsidP="007A494D">
      <w:pPr>
        <w:rPr>
          <w:rFonts w:cs="Arial"/>
          <w:b/>
          <w:color w:val="FF0000"/>
          <w:szCs w:val="24"/>
        </w:rPr>
      </w:pPr>
    </w:p>
    <w:p w14:paraId="196A9F03" w14:textId="77777777" w:rsidR="007A494D" w:rsidRPr="00882585" w:rsidRDefault="007A494D" w:rsidP="007A494D">
      <w:pPr>
        <w:pStyle w:val="Heading2"/>
      </w:pPr>
      <w:bookmarkStart w:id="21" w:name="_Toc509388170"/>
      <w:r>
        <w:t xml:space="preserve">1.3 </w:t>
      </w:r>
      <w:r w:rsidRPr="00882585">
        <w:t>Manual handling r</w:t>
      </w:r>
      <w:r>
        <w:t>isk a</w:t>
      </w:r>
      <w:r w:rsidRPr="00882585">
        <w:t>ssessment</w:t>
      </w:r>
      <w:bookmarkEnd w:id="21"/>
      <w:r w:rsidRPr="00882585">
        <w:t xml:space="preserve"> </w:t>
      </w:r>
    </w:p>
    <w:p w14:paraId="2A62FCC0" w14:textId="77777777" w:rsidR="007A494D" w:rsidRPr="004A0A3E" w:rsidRDefault="007A494D" w:rsidP="007A494D">
      <w:pPr>
        <w:rPr>
          <w:rFonts w:cs="Arial"/>
          <w:szCs w:val="24"/>
        </w:rPr>
      </w:pPr>
      <w:r w:rsidRPr="004A0A3E">
        <w:rPr>
          <w:rFonts w:cs="Arial"/>
          <w:szCs w:val="24"/>
        </w:rPr>
        <w:t>All</w:t>
      </w:r>
      <w:r>
        <w:rPr>
          <w:rFonts w:cs="Arial"/>
          <w:szCs w:val="24"/>
        </w:rPr>
        <w:t xml:space="preserve"> larger</w:t>
      </w:r>
      <w:r w:rsidRPr="004A0A3E">
        <w:rPr>
          <w:rFonts w:cs="Arial"/>
          <w:szCs w:val="24"/>
        </w:rPr>
        <w:t xml:space="preserve"> patients are to have a </w:t>
      </w:r>
      <w:bookmarkStart w:id="22" w:name="OLE_LINK1"/>
      <w:bookmarkStart w:id="23" w:name="OLE_LINK2"/>
      <w:r w:rsidRPr="004A0A3E">
        <w:rPr>
          <w:rFonts w:cs="Arial"/>
          <w:szCs w:val="24"/>
        </w:rPr>
        <w:t xml:space="preserve">manual handling risk assessment </w:t>
      </w:r>
      <w:bookmarkEnd w:id="22"/>
      <w:bookmarkEnd w:id="23"/>
      <w:r w:rsidRPr="004A0A3E">
        <w:rPr>
          <w:rFonts w:cs="Arial"/>
          <w:szCs w:val="24"/>
        </w:rPr>
        <w:t>completed by the admitting nurse</w:t>
      </w:r>
      <w:r>
        <w:rPr>
          <w:rFonts w:cs="Arial"/>
          <w:szCs w:val="24"/>
        </w:rPr>
        <w:t>/midwife</w:t>
      </w:r>
      <w:r w:rsidRPr="004A0A3E">
        <w:rPr>
          <w:rFonts w:cs="Arial"/>
          <w:szCs w:val="24"/>
        </w:rPr>
        <w:t xml:space="preserve"> or other treating clinician in </w:t>
      </w:r>
      <w:r>
        <w:rPr>
          <w:rFonts w:cs="Arial"/>
          <w:szCs w:val="24"/>
        </w:rPr>
        <w:t xml:space="preserve">partnership </w:t>
      </w:r>
      <w:r w:rsidRPr="004A0A3E">
        <w:rPr>
          <w:rFonts w:cs="Arial"/>
          <w:szCs w:val="24"/>
        </w:rPr>
        <w:t xml:space="preserve">with the patient/carer. </w:t>
      </w:r>
    </w:p>
    <w:p w14:paraId="3287103E" w14:textId="77777777" w:rsidR="007A494D" w:rsidRDefault="007A494D" w:rsidP="007A494D">
      <w:pPr>
        <w:rPr>
          <w:rFonts w:cs="Arial"/>
          <w:szCs w:val="24"/>
        </w:rPr>
      </w:pPr>
      <w:r w:rsidRPr="004A0A3E">
        <w:rPr>
          <w:rFonts w:cs="Arial"/>
          <w:szCs w:val="24"/>
        </w:rPr>
        <w:t>Complete the ‘Manual Handling Risk Assessment Tool’ for each specific clinical environment (i.e. Canberra Hospital or Community Based Services etc).</w:t>
      </w:r>
    </w:p>
    <w:p w14:paraId="0286E0BC" w14:textId="77777777" w:rsidR="007A494D" w:rsidRPr="004A0A3E" w:rsidRDefault="007A494D" w:rsidP="007A494D">
      <w:pPr>
        <w:rPr>
          <w:rFonts w:cs="Arial"/>
          <w:szCs w:val="24"/>
        </w:rPr>
      </w:pPr>
    </w:p>
    <w:p w14:paraId="0B684758" w14:textId="77777777" w:rsidR="007A494D" w:rsidRPr="006E5B6F" w:rsidRDefault="007A494D" w:rsidP="007A494D">
      <w:pPr>
        <w:contextualSpacing/>
        <w:rPr>
          <w:rFonts w:cs="Arial"/>
          <w:szCs w:val="24"/>
        </w:rPr>
      </w:pPr>
      <w:r>
        <w:rPr>
          <w:rFonts w:cs="Arial"/>
          <w:szCs w:val="24"/>
        </w:rPr>
        <w:t xml:space="preserve">Where a </w:t>
      </w:r>
      <w:r w:rsidRPr="004A0A3E">
        <w:rPr>
          <w:rFonts w:cs="Arial"/>
          <w:szCs w:val="24"/>
        </w:rPr>
        <w:t xml:space="preserve">manual handling risk assessment </w:t>
      </w:r>
      <w:r>
        <w:rPr>
          <w:rFonts w:cs="Arial"/>
          <w:szCs w:val="24"/>
        </w:rPr>
        <w:t xml:space="preserve">determines </w:t>
      </w:r>
      <w:r w:rsidRPr="004A0A3E">
        <w:rPr>
          <w:rFonts w:cs="Arial"/>
          <w:szCs w:val="24"/>
        </w:rPr>
        <w:t>there is a medium to high risk</w:t>
      </w:r>
      <w:r>
        <w:rPr>
          <w:rFonts w:cs="Arial"/>
          <w:szCs w:val="24"/>
        </w:rPr>
        <w:t xml:space="preserve"> and specialist equipment is needed, equipment can be sourced as follows:</w:t>
      </w:r>
    </w:p>
    <w:p w14:paraId="3A85B38B" w14:textId="77777777" w:rsidR="007A494D" w:rsidRPr="000B131E" w:rsidRDefault="007A494D" w:rsidP="007A494D">
      <w:pPr>
        <w:pStyle w:val="ListParagraph"/>
        <w:numPr>
          <w:ilvl w:val="0"/>
          <w:numId w:val="20"/>
        </w:numPr>
        <w:ind w:left="426" w:hanging="426"/>
      </w:pPr>
      <w:r w:rsidRPr="00882585">
        <w:t>Canberra Hospital</w:t>
      </w:r>
      <w:r w:rsidRPr="0040455E">
        <w:t xml:space="preserve"> (CH)</w:t>
      </w:r>
      <w:r>
        <w:t xml:space="preserve"> </w:t>
      </w:r>
      <w:r w:rsidRPr="000B131E">
        <w:t>Central Equipment S</w:t>
      </w:r>
      <w:r>
        <w:t>ervice</w:t>
      </w:r>
      <w:r w:rsidRPr="000B131E">
        <w:t xml:space="preserve"> (CES) </w:t>
      </w:r>
      <w:r>
        <w:t xml:space="preserve">-during </w:t>
      </w:r>
      <w:r w:rsidRPr="000B131E">
        <w:t xml:space="preserve">business hours 07:00 –20:00hr Mon-Fri contact the CES </w:t>
      </w:r>
      <w:r>
        <w:t xml:space="preserve">on </w:t>
      </w:r>
      <w:r w:rsidRPr="000B131E">
        <w:t>6174</w:t>
      </w:r>
      <w:r>
        <w:t xml:space="preserve"> </w:t>
      </w:r>
      <w:r w:rsidRPr="000B131E">
        <w:t xml:space="preserve">7171. Outside these hours contact the </w:t>
      </w:r>
      <w:r>
        <w:t>w</w:t>
      </w:r>
      <w:r w:rsidRPr="000B131E">
        <w:t>ards-person Shift Supervisor</w:t>
      </w:r>
      <w:r>
        <w:t xml:space="preserve"> </w:t>
      </w:r>
      <w:r w:rsidRPr="000B131E">
        <w:t>through the hospital switchboard.</w:t>
      </w:r>
    </w:p>
    <w:p w14:paraId="3645AB49" w14:textId="77777777" w:rsidR="007A494D" w:rsidRPr="0095069E" w:rsidRDefault="007A494D" w:rsidP="007A494D">
      <w:pPr>
        <w:pStyle w:val="ListParagraph"/>
        <w:numPr>
          <w:ilvl w:val="0"/>
          <w:numId w:val="20"/>
        </w:numPr>
        <w:ind w:left="426" w:hanging="426"/>
        <w:rPr>
          <w:rFonts w:cs="Arial"/>
        </w:rPr>
      </w:pPr>
      <w:r>
        <w:t>C</w:t>
      </w:r>
      <w:r w:rsidRPr="00882585">
        <w:t>ommunity based services</w:t>
      </w:r>
      <w:r w:rsidRPr="0095069E">
        <w:rPr>
          <w:rFonts w:cs="Arial"/>
        </w:rPr>
        <w:t xml:space="preserve"> (CBS) please contact the appropriate nursing or allied health manager.</w:t>
      </w:r>
    </w:p>
    <w:p w14:paraId="29C8EB3C" w14:textId="77777777" w:rsidR="007A494D" w:rsidRDefault="007A494D" w:rsidP="007A494D">
      <w:pPr>
        <w:pStyle w:val="ListParagraph"/>
        <w:numPr>
          <w:ilvl w:val="0"/>
          <w:numId w:val="20"/>
        </w:numPr>
        <w:ind w:left="426" w:hanging="426"/>
        <w:rPr>
          <w:rFonts w:cs="Arial"/>
        </w:rPr>
      </w:pPr>
      <w:r>
        <w:rPr>
          <w:rFonts w:cs="Arial"/>
        </w:rPr>
        <w:t>P</w:t>
      </w:r>
      <w:r w:rsidRPr="0095069E">
        <w:rPr>
          <w:rFonts w:cs="Arial"/>
        </w:rPr>
        <w:t>lac</w:t>
      </w:r>
      <w:r>
        <w:rPr>
          <w:rFonts w:cs="Arial"/>
        </w:rPr>
        <w:t>e</w:t>
      </w:r>
      <w:r w:rsidRPr="0095069E">
        <w:rPr>
          <w:rFonts w:cs="Arial"/>
        </w:rPr>
        <w:t xml:space="preserve"> an alert on ACTPAS</w:t>
      </w:r>
      <w:r>
        <w:rPr>
          <w:rFonts w:cs="Arial"/>
        </w:rPr>
        <w:t xml:space="preserve"> via Concerto by selecting the alert code as ‘Special needs and/or preferences’ and then ‘Bariatric’.</w:t>
      </w:r>
      <w:r w:rsidRPr="0095069E">
        <w:rPr>
          <w:rFonts w:cs="Arial"/>
        </w:rPr>
        <w:t xml:space="preserve">   </w:t>
      </w:r>
    </w:p>
    <w:p w14:paraId="1BF51CDD" w14:textId="77777777" w:rsidR="007A494D" w:rsidRPr="0095069E" w:rsidRDefault="007A494D" w:rsidP="007A494D"/>
    <w:p w14:paraId="25610960" w14:textId="77777777" w:rsidR="007A494D" w:rsidRDefault="007A494D" w:rsidP="007A494D">
      <w:pPr>
        <w:pStyle w:val="ListBullet"/>
      </w:pPr>
      <w:r w:rsidRPr="006E5B6F">
        <w:t xml:space="preserve">Manual handling educators should be contacted for onsite training of staff and </w:t>
      </w:r>
      <w:r>
        <w:t>carers</w:t>
      </w:r>
      <w:r w:rsidRPr="006E5B6F">
        <w:t xml:space="preserve"> in the manual handling of immobile larger patients. </w:t>
      </w:r>
    </w:p>
    <w:p w14:paraId="16B17F78" w14:textId="77777777" w:rsidR="007A494D" w:rsidRPr="00DA2D14" w:rsidRDefault="007A494D" w:rsidP="007A494D">
      <w:pPr>
        <w:pStyle w:val="ListBullet"/>
      </w:pPr>
      <w:r w:rsidRPr="006E5B6F">
        <w:t xml:space="preserve">Work Place Safety officers are also available for advice if the manual handling risk cannot be reduced to a safe level.  </w:t>
      </w:r>
    </w:p>
    <w:p w14:paraId="3273DF09" w14:textId="77777777" w:rsidR="007A494D" w:rsidRPr="000B131E" w:rsidRDefault="007A494D" w:rsidP="007A494D">
      <w:pPr>
        <w:pStyle w:val="ListBullet"/>
      </w:pPr>
      <w:r w:rsidRPr="006E5B6F">
        <w:t xml:space="preserve">Determine the best </w:t>
      </w:r>
      <w:r>
        <w:t xml:space="preserve">clinical </w:t>
      </w:r>
      <w:r w:rsidRPr="006E5B6F">
        <w:t>location to care for the patient: Some</w:t>
      </w:r>
      <w:r>
        <w:t xml:space="preserve"> clinical </w:t>
      </w:r>
      <w:r w:rsidRPr="006E5B6F">
        <w:t xml:space="preserve"> facilities have Bariatric </w:t>
      </w:r>
      <w:r>
        <w:t xml:space="preserve">rooms </w:t>
      </w:r>
      <w:r w:rsidRPr="006E5B6F">
        <w:t>or treatment rooms</w:t>
      </w:r>
      <w:r>
        <w:t xml:space="preserve"> available for use</w:t>
      </w:r>
      <w:r w:rsidRPr="006E5B6F">
        <w:t xml:space="preserve">. </w:t>
      </w:r>
    </w:p>
    <w:p w14:paraId="224017D7" w14:textId="77777777" w:rsidR="007A494D" w:rsidRPr="00DA2D14" w:rsidRDefault="007A494D" w:rsidP="007A494D"/>
    <w:p w14:paraId="0FDF5618" w14:textId="77777777" w:rsidR="007A494D" w:rsidRPr="00882585" w:rsidRDefault="007A494D" w:rsidP="007A494D">
      <w:pPr>
        <w:pStyle w:val="Heading2"/>
      </w:pPr>
      <w:bookmarkStart w:id="24" w:name="_Toc509388171"/>
      <w:r>
        <w:t>1.4 Developing a plan to manage manual handling</w:t>
      </w:r>
      <w:bookmarkEnd w:id="24"/>
      <w:r w:rsidRPr="00882585">
        <w:t xml:space="preserve"> </w:t>
      </w:r>
    </w:p>
    <w:p w14:paraId="05F69909" w14:textId="77777777" w:rsidR="007A494D" w:rsidRPr="004A0A3E" w:rsidRDefault="007A494D" w:rsidP="007A494D">
      <w:pPr>
        <w:rPr>
          <w:rFonts w:cs="Calibri"/>
          <w:szCs w:val="24"/>
        </w:rPr>
      </w:pPr>
      <w:r w:rsidRPr="004A0A3E">
        <w:rPr>
          <w:rFonts w:cs="Calibri"/>
          <w:szCs w:val="24"/>
        </w:rPr>
        <w:t xml:space="preserve">A plan should be </w:t>
      </w:r>
      <w:r>
        <w:rPr>
          <w:rFonts w:cs="Calibri"/>
          <w:szCs w:val="24"/>
        </w:rPr>
        <w:t>developed</w:t>
      </w:r>
      <w:r w:rsidRPr="004A0A3E">
        <w:rPr>
          <w:rFonts w:cs="Calibri"/>
          <w:szCs w:val="24"/>
        </w:rPr>
        <w:t xml:space="preserve"> based on the manual handling risk assessment. This plan </w:t>
      </w:r>
      <w:r>
        <w:rPr>
          <w:rFonts w:cs="Calibri"/>
          <w:szCs w:val="24"/>
        </w:rPr>
        <w:t>should</w:t>
      </w:r>
      <w:r w:rsidRPr="004A0A3E">
        <w:rPr>
          <w:rFonts w:cs="Calibri"/>
          <w:szCs w:val="24"/>
        </w:rPr>
        <w:t xml:space="preserve"> address the following</w:t>
      </w:r>
      <w:r>
        <w:rPr>
          <w:rFonts w:cs="Calibri"/>
          <w:szCs w:val="24"/>
          <w:vertAlign w:val="superscript"/>
        </w:rPr>
        <w:t>5</w:t>
      </w:r>
      <w:r w:rsidRPr="004A0A3E">
        <w:rPr>
          <w:rFonts w:cs="Calibri"/>
          <w:szCs w:val="24"/>
        </w:rPr>
        <w:t xml:space="preserve">: </w:t>
      </w:r>
    </w:p>
    <w:p w14:paraId="6059983A" w14:textId="77777777" w:rsidR="007A494D" w:rsidRPr="00AA696F" w:rsidRDefault="007A494D" w:rsidP="007A494D">
      <w:pPr>
        <w:pStyle w:val="ListBullet"/>
      </w:pPr>
      <w:r w:rsidRPr="00AA696F">
        <w:t>Appropriate equipment minimises the need for active manual handling.</w:t>
      </w:r>
      <w:r>
        <w:t xml:space="preserve"> </w:t>
      </w:r>
      <w:r>
        <w:rPr>
          <w:rFonts w:cs="Arial"/>
          <w:szCs w:val="22"/>
        </w:rPr>
        <w:t>For examples of equipment as well as banned hazardous manual task practices refer to</w:t>
      </w:r>
      <w:r w:rsidRPr="00AF1D73">
        <w:rPr>
          <w:rFonts w:cs="Arial"/>
          <w:i/>
          <w:szCs w:val="22"/>
        </w:rPr>
        <w:t xml:space="preserve"> ACT Health Work Health and Safety Management System Sub-Section 7.7 Hazardous Manual Tasks and Office Ergonomics</w:t>
      </w:r>
      <w:r>
        <w:rPr>
          <w:rFonts w:cs="Arial"/>
          <w:szCs w:val="22"/>
        </w:rPr>
        <w:t>.</w:t>
      </w:r>
    </w:p>
    <w:p w14:paraId="6831DE7B" w14:textId="77777777" w:rsidR="007A494D" w:rsidRPr="005C1F49" w:rsidRDefault="007A494D" w:rsidP="007A494D">
      <w:pPr>
        <w:pStyle w:val="ListBullet"/>
      </w:pPr>
      <w:r w:rsidRPr="00AA696F">
        <w:t>Patient independence must be encouraged</w:t>
      </w:r>
      <w:r>
        <w:t xml:space="preserve"> whenever safely possible</w:t>
      </w:r>
      <w:r w:rsidRPr="00AA696F">
        <w:t xml:space="preserve"> as this reduces the need for manual handling and provides better health outcomes. It is essential that all staff are aware of taking necessary action to maintain patients’ independence, privacy and dignity at all times. </w:t>
      </w:r>
    </w:p>
    <w:p w14:paraId="5C3106B9" w14:textId="77777777" w:rsidR="007A494D" w:rsidRPr="00AA696F" w:rsidRDefault="007A494D" w:rsidP="007A494D">
      <w:pPr>
        <w:pStyle w:val="ListBullet"/>
      </w:pPr>
      <w:r w:rsidRPr="00AA696F">
        <w:t>Staff are not to be used in place of equipment to move the patient.</w:t>
      </w:r>
    </w:p>
    <w:p w14:paraId="5FDBD294" w14:textId="77777777" w:rsidR="007A494D" w:rsidRDefault="007A494D" w:rsidP="007A494D">
      <w:pPr>
        <w:pStyle w:val="ListBullet"/>
      </w:pPr>
      <w:r w:rsidRPr="00AA696F">
        <w:t xml:space="preserve">Sufficient staff must always be available for the safe manual handling of patients, for example turning the patient.  Please note that additional staffing requirements are sought by following </w:t>
      </w:r>
      <w:r>
        <w:t xml:space="preserve">local area protocols. </w:t>
      </w:r>
    </w:p>
    <w:p w14:paraId="0F2A5CC6" w14:textId="77777777" w:rsidR="007A494D" w:rsidRPr="00AA696F" w:rsidRDefault="007A494D" w:rsidP="007A494D">
      <w:pPr>
        <w:pStyle w:val="ListBullet"/>
      </w:pPr>
      <w:r w:rsidRPr="00AA696F">
        <w:t>The rotation of staff caring for larger patients prevents staff from developing repetitive strain injuries and fatigue</w:t>
      </w:r>
      <w:r w:rsidRPr="003C2C09">
        <w:rPr>
          <w:vertAlign w:val="superscript"/>
        </w:rPr>
        <w:t>4,6</w:t>
      </w:r>
      <w:r w:rsidRPr="00AA696F">
        <w:t xml:space="preserve">. </w:t>
      </w:r>
    </w:p>
    <w:p w14:paraId="6735C5B5" w14:textId="77777777" w:rsidR="007A494D" w:rsidRDefault="007A494D" w:rsidP="007A494D">
      <w:pPr>
        <w:pStyle w:val="ListBullet"/>
      </w:pPr>
      <w:r w:rsidRPr="006E5B6F">
        <w:t xml:space="preserve">The manual handling care plan must be part of the overall patient care plan and have multidisciplinary input. </w:t>
      </w:r>
    </w:p>
    <w:p w14:paraId="14EEB049" w14:textId="77777777" w:rsidR="007A494D" w:rsidRPr="006E5B6F" w:rsidRDefault="007A494D" w:rsidP="007A494D">
      <w:pPr>
        <w:pStyle w:val="ListBullet"/>
      </w:pPr>
      <w:r w:rsidRPr="006E5B6F">
        <w:t xml:space="preserve">The patient and their family must be involved in the care planning process and education must be provided about the equipment.  </w:t>
      </w:r>
    </w:p>
    <w:p w14:paraId="23ED99D7" w14:textId="77777777" w:rsidR="007A494D" w:rsidRDefault="007A494D" w:rsidP="007A494D"/>
    <w:p w14:paraId="6D33A538" w14:textId="77777777" w:rsidR="007A494D" w:rsidRPr="00B4684D" w:rsidRDefault="007A494D" w:rsidP="007A494D">
      <w:pPr>
        <w:pStyle w:val="Heading2"/>
      </w:pPr>
      <w:bookmarkStart w:id="25" w:name="_Toc509388172"/>
      <w:r>
        <w:t xml:space="preserve">1.5 </w:t>
      </w:r>
      <w:r w:rsidRPr="00B4684D">
        <w:t>Encouraging Mobility</w:t>
      </w:r>
      <w:bookmarkEnd w:id="25"/>
    </w:p>
    <w:p w14:paraId="7156468F" w14:textId="77777777" w:rsidR="007A494D" w:rsidRPr="00B4684D" w:rsidRDefault="007A494D" w:rsidP="007A494D">
      <w:pPr>
        <w:pStyle w:val="BodyText"/>
        <w:rPr>
          <w:sz w:val="24"/>
          <w:szCs w:val="24"/>
        </w:rPr>
      </w:pPr>
      <w:r w:rsidRPr="00B4684D">
        <w:rPr>
          <w:sz w:val="24"/>
          <w:szCs w:val="24"/>
        </w:rPr>
        <w:t xml:space="preserve">Staff need to assess the patient’s required </w:t>
      </w:r>
      <w:r>
        <w:rPr>
          <w:sz w:val="24"/>
          <w:szCs w:val="24"/>
        </w:rPr>
        <w:t>level</w:t>
      </w:r>
      <w:r w:rsidRPr="00B4684D">
        <w:rPr>
          <w:sz w:val="24"/>
          <w:szCs w:val="24"/>
        </w:rPr>
        <w:t xml:space="preserve"> of assistance, weight-bearing capability and conditions likely to affect transfer or repositioning techniques, such as joint replacements, pain, respiratory and cardiac conditions.</w:t>
      </w:r>
    </w:p>
    <w:p w14:paraId="15DDC779" w14:textId="77777777" w:rsidR="007A494D" w:rsidRDefault="007A494D" w:rsidP="007A494D">
      <w:pPr>
        <w:pStyle w:val="BodyText"/>
        <w:rPr>
          <w:sz w:val="24"/>
          <w:szCs w:val="24"/>
        </w:rPr>
      </w:pPr>
    </w:p>
    <w:p w14:paraId="783A399B" w14:textId="77777777" w:rsidR="007A494D" w:rsidRPr="00B4684D" w:rsidRDefault="007A494D" w:rsidP="007A494D">
      <w:pPr>
        <w:pStyle w:val="BodyText"/>
        <w:rPr>
          <w:sz w:val="24"/>
          <w:szCs w:val="24"/>
        </w:rPr>
      </w:pPr>
      <w:r w:rsidRPr="00B4684D">
        <w:rPr>
          <w:sz w:val="24"/>
          <w:szCs w:val="24"/>
        </w:rPr>
        <w:t>In consultation with the patient and the multidisciplinary team a mobilisation plan is developed and updated as the patient’s condition changes.</w:t>
      </w:r>
    </w:p>
    <w:p w14:paraId="6CC0E88A" w14:textId="77777777" w:rsidR="007A494D" w:rsidRDefault="007A494D" w:rsidP="007A494D">
      <w:pPr>
        <w:pStyle w:val="BodyText"/>
        <w:rPr>
          <w:sz w:val="24"/>
          <w:szCs w:val="24"/>
        </w:rPr>
      </w:pPr>
    </w:p>
    <w:p w14:paraId="3FA5F270" w14:textId="77777777" w:rsidR="007A494D" w:rsidRDefault="007A494D" w:rsidP="007A494D">
      <w:pPr>
        <w:pStyle w:val="BodyText"/>
        <w:rPr>
          <w:sz w:val="24"/>
          <w:szCs w:val="24"/>
        </w:rPr>
      </w:pPr>
      <w:r w:rsidRPr="00B4684D">
        <w:rPr>
          <w:sz w:val="24"/>
          <w:szCs w:val="24"/>
        </w:rPr>
        <w:t>There needs to be a balance between improving (or maintaining) the patient’s mobility and the routine use of moving and handling equipment to ensure patient and staff safety. A focus just on reducing manual handling risk without considering rehabilitation needs may result in the patient becoming dependent.</w:t>
      </w:r>
    </w:p>
    <w:p w14:paraId="5C5299B6" w14:textId="77777777" w:rsidR="007A494D" w:rsidRDefault="007A494D" w:rsidP="007A494D"/>
    <w:p w14:paraId="67DFD1F4" w14:textId="77777777" w:rsidR="007A494D" w:rsidRPr="00B4684D" w:rsidRDefault="007A494D" w:rsidP="007A494D">
      <w:pPr>
        <w:pStyle w:val="Heading2"/>
      </w:pPr>
      <w:bookmarkStart w:id="26" w:name="_Toc509388173"/>
      <w:r>
        <w:t xml:space="preserve">1.6 </w:t>
      </w:r>
      <w:r w:rsidRPr="00B4684D">
        <w:t>Equipment</w:t>
      </w:r>
      <w:bookmarkEnd w:id="26"/>
      <w:r w:rsidRPr="00B4684D">
        <w:t xml:space="preserve"> </w:t>
      </w:r>
    </w:p>
    <w:p w14:paraId="10865AA1" w14:textId="77777777" w:rsidR="007A494D" w:rsidRDefault="007A494D" w:rsidP="007A494D">
      <w:r w:rsidRPr="000B1724">
        <w:t xml:space="preserve">Bariatric equipment is available for use across </w:t>
      </w:r>
      <w:r>
        <w:t>Canberra Hospital &amp; Health Services (</w:t>
      </w:r>
      <w:r w:rsidRPr="000B1724">
        <w:t>CHHS</w:t>
      </w:r>
      <w:r>
        <w:t xml:space="preserve">). This equipment must be approved by Workplace Safety and if to be used for manual handing, requires approval and sign off from the Manual Handling Trainers Unit. </w:t>
      </w:r>
    </w:p>
    <w:p w14:paraId="0D4F95ED" w14:textId="77777777" w:rsidR="007A494D" w:rsidRDefault="007A494D" w:rsidP="007A494D"/>
    <w:p w14:paraId="41376ADB" w14:textId="77777777" w:rsidR="007A494D" w:rsidRDefault="007A494D" w:rsidP="007A494D">
      <w:r w:rsidRPr="00D77D67">
        <w:t xml:space="preserve">Suitable clinical and other equipment must be readily available, including but not limited to large blood pressure cuffs, </w:t>
      </w:r>
      <w:r>
        <w:t>larger</w:t>
      </w:r>
      <w:r w:rsidRPr="00D77D67">
        <w:t xml:space="preserve"> gowns, suitable dressing materials, high load </w:t>
      </w:r>
      <w:r>
        <w:t xml:space="preserve">capacity </w:t>
      </w:r>
      <w:r w:rsidRPr="00D77D67">
        <w:t>chairs, beds, commodes</w:t>
      </w:r>
      <w:r>
        <w:t xml:space="preserve"> and</w:t>
      </w:r>
      <w:r w:rsidRPr="00D77D67">
        <w:t xml:space="preserve"> walking aids and screens/curtains for patient privacy.</w:t>
      </w:r>
      <w:r>
        <w:t xml:space="preserve"> </w:t>
      </w:r>
    </w:p>
    <w:p w14:paraId="060B3186" w14:textId="77777777" w:rsidR="007A494D" w:rsidRDefault="007A494D" w:rsidP="007A494D"/>
    <w:p w14:paraId="76778C9C" w14:textId="77777777" w:rsidR="007A494D" w:rsidRPr="00E35025" w:rsidRDefault="007A494D" w:rsidP="007A494D">
      <w:pPr>
        <w:rPr>
          <w:rFonts w:asciiTheme="minorHAnsi" w:hAnsiTheme="minorHAnsi" w:cs="Calibri"/>
          <w:sz w:val="22"/>
          <w:szCs w:val="22"/>
          <w:lang w:val="en-US"/>
        </w:rPr>
      </w:pPr>
      <w:r w:rsidRPr="00E35025">
        <w:rPr>
          <w:rFonts w:asciiTheme="minorHAnsi" w:hAnsiTheme="minorHAnsi" w:cs="Calibri"/>
        </w:rPr>
        <w:t>Bariatric equipment requires regular maintenance</w:t>
      </w:r>
      <w:r>
        <w:rPr>
          <w:rFonts w:asciiTheme="minorHAnsi" w:hAnsiTheme="minorHAnsi" w:cs="Calibri"/>
        </w:rPr>
        <w:t xml:space="preserve"> which is scheduled by the Central Equipment Store</w:t>
      </w:r>
      <w:r w:rsidRPr="00E35025">
        <w:rPr>
          <w:rFonts w:asciiTheme="minorHAnsi" w:hAnsiTheme="minorHAnsi" w:cs="Calibri"/>
        </w:rPr>
        <w:t xml:space="preserve">. CHHS staff must check equipment is in safe working order before use and report any maintenance requirements promptly to the owner of the equipment (e.g. </w:t>
      </w:r>
      <w:r>
        <w:rPr>
          <w:rFonts w:asciiTheme="minorHAnsi" w:hAnsiTheme="minorHAnsi" w:cs="Calibri"/>
        </w:rPr>
        <w:t>C</w:t>
      </w:r>
      <w:r w:rsidRPr="00E35025">
        <w:rPr>
          <w:rFonts w:asciiTheme="minorHAnsi" w:hAnsiTheme="minorHAnsi" w:cs="Calibri"/>
        </w:rPr>
        <w:t xml:space="preserve">entral </w:t>
      </w:r>
      <w:r>
        <w:rPr>
          <w:rFonts w:asciiTheme="minorHAnsi" w:hAnsiTheme="minorHAnsi" w:cs="Calibri"/>
        </w:rPr>
        <w:t>E</w:t>
      </w:r>
      <w:r w:rsidRPr="00E35025">
        <w:rPr>
          <w:rFonts w:asciiTheme="minorHAnsi" w:hAnsiTheme="minorHAnsi" w:cs="Calibri"/>
        </w:rPr>
        <w:t xml:space="preserve">quipment </w:t>
      </w:r>
      <w:r>
        <w:rPr>
          <w:rFonts w:asciiTheme="minorHAnsi" w:hAnsiTheme="minorHAnsi" w:cs="Calibri"/>
        </w:rPr>
        <w:t>S</w:t>
      </w:r>
      <w:r w:rsidRPr="00E35025">
        <w:rPr>
          <w:rFonts w:asciiTheme="minorHAnsi" w:hAnsiTheme="minorHAnsi" w:cs="Calibri"/>
        </w:rPr>
        <w:t>tore).</w:t>
      </w:r>
      <w:r w:rsidRPr="00E35025">
        <w:rPr>
          <w:rFonts w:asciiTheme="minorHAnsi" w:hAnsiTheme="minorHAnsi" w:cs="Calibri"/>
          <w:sz w:val="22"/>
          <w:szCs w:val="22"/>
          <w:lang w:val="en-US"/>
        </w:rPr>
        <w:t xml:space="preserve"> </w:t>
      </w:r>
    </w:p>
    <w:p w14:paraId="635A3FF2" w14:textId="77777777" w:rsidR="007A494D" w:rsidRDefault="007A494D" w:rsidP="007A494D">
      <w:pPr>
        <w:pStyle w:val="BodyText"/>
        <w:rPr>
          <w:sz w:val="24"/>
          <w:szCs w:val="24"/>
        </w:rPr>
      </w:pPr>
    </w:p>
    <w:p w14:paraId="185409BF" w14:textId="77777777" w:rsidR="007A494D" w:rsidRDefault="007A494D" w:rsidP="007A494D">
      <w:pPr>
        <w:pStyle w:val="BodyText"/>
        <w:rPr>
          <w:sz w:val="24"/>
          <w:szCs w:val="24"/>
        </w:rPr>
      </w:pPr>
      <w:r>
        <w:rPr>
          <w:sz w:val="24"/>
          <w:szCs w:val="24"/>
        </w:rPr>
        <w:t>When arranging equipment for home the following procedures can be referred to:</w:t>
      </w:r>
    </w:p>
    <w:p w14:paraId="6B06AE44" w14:textId="77777777" w:rsidR="007A494D" w:rsidRDefault="007A494D" w:rsidP="007A494D">
      <w:pPr>
        <w:pStyle w:val="ListBullet"/>
      </w:pPr>
      <w:r>
        <w:t>CHHS Operational Procedure – ACT Equipment Loan Service</w:t>
      </w:r>
    </w:p>
    <w:p w14:paraId="7A584449" w14:textId="77777777" w:rsidR="007A494D" w:rsidRDefault="007A494D" w:rsidP="007A494D">
      <w:pPr>
        <w:pStyle w:val="ListBullet"/>
      </w:pPr>
      <w:r>
        <w:t>CHHS Operational Procedure – ACT Equipment Scheme</w:t>
      </w:r>
    </w:p>
    <w:p w14:paraId="27409FC7" w14:textId="77777777" w:rsidR="007A494D" w:rsidRPr="00B4684D" w:rsidRDefault="007A494D" w:rsidP="007A494D">
      <w:pPr>
        <w:pStyle w:val="ListBullet"/>
      </w:pPr>
      <w:r>
        <w:t>Commonwealth Home Support Program Equipment Scheme</w:t>
      </w:r>
    </w:p>
    <w:p w14:paraId="753E677D" w14:textId="77777777" w:rsidR="007A494D" w:rsidRPr="005C1F49" w:rsidRDefault="007A494D" w:rsidP="007A494D">
      <w:pPr>
        <w:pStyle w:val="ListBullet"/>
        <w:numPr>
          <w:ilvl w:val="0"/>
          <w:numId w:val="0"/>
        </w:numPr>
        <w:rPr>
          <w:rFonts w:cs="Arial"/>
        </w:rPr>
      </w:pPr>
    </w:p>
    <w:p w14:paraId="76150A36" w14:textId="77777777" w:rsidR="007A494D" w:rsidRPr="00B4684D" w:rsidRDefault="007A494D" w:rsidP="007A494D">
      <w:pPr>
        <w:pStyle w:val="Heading2"/>
      </w:pPr>
      <w:bookmarkStart w:id="27" w:name="_Toc509388174"/>
      <w:r>
        <w:t xml:space="preserve">1.7 </w:t>
      </w:r>
      <w:r w:rsidRPr="00B4684D">
        <w:t>Resuscitation</w:t>
      </w:r>
      <w:bookmarkEnd w:id="27"/>
    </w:p>
    <w:p w14:paraId="2035B7B9" w14:textId="77777777" w:rsidR="007A494D" w:rsidRPr="00B4684D" w:rsidRDefault="007A494D" w:rsidP="007A494D">
      <w:r w:rsidRPr="00B4684D">
        <w:t>There is an increased effort involved to perform chest c</w:t>
      </w:r>
      <w:r>
        <w:t xml:space="preserve">ompressions on larger patients. </w:t>
      </w:r>
      <w:r w:rsidRPr="00B4684D">
        <w:t>Resuscitation guidelines state that one third of the chest is depressed for each compression. If a staff member feels fatigued they must seek assistance and should not exceed 2 minutes.</w:t>
      </w:r>
    </w:p>
    <w:p w14:paraId="47D602A8" w14:textId="77777777" w:rsidR="007A494D" w:rsidRPr="00D77D67" w:rsidRDefault="007A494D" w:rsidP="007A494D"/>
    <w:p w14:paraId="7830C7B0" w14:textId="77777777" w:rsidR="007A494D" w:rsidRPr="00B4684D" w:rsidRDefault="007A494D" w:rsidP="007A494D">
      <w:pPr>
        <w:pStyle w:val="Heading2"/>
      </w:pPr>
      <w:bookmarkStart w:id="28" w:name="_Toc509388175"/>
      <w:r>
        <w:t xml:space="preserve">1.8 </w:t>
      </w:r>
      <w:r w:rsidRPr="00B4684D">
        <w:t>Changes in care location and discharge planning</w:t>
      </w:r>
      <w:bookmarkEnd w:id="28"/>
    </w:p>
    <w:p w14:paraId="026990EB" w14:textId="77777777" w:rsidR="007A494D" w:rsidRPr="00882585" w:rsidRDefault="007A494D" w:rsidP="007A494D">
      <w:r>
        <w:rPr>
          <w:rFonts w:cs="Calibri"/>
          <w:szCs w:val="24"/>
        </w:rPr>
        <w:t xml:space="preserve">Discharge planning should be commenced </w:t>
      </w:r>
      <w:r w:rsidRPr="00B4684D">
        <w:rPr>
          <w:rFonts w:cs="Calibri"/>
          <w:szCs w:val="24"/>
        </w:rPr>
        <w:t>as soon as possible to ensure that</w:t>
      </w:r>
      <w:r>
        <w:rPr>
          <w:rFonts w:cs="Calibri"/>
          <w:szCs w:val="24"/>
        </w:rPr>
        <w:t xml:space="preserve"> </w:t>
      </w:r>
      <w:r>
        <w:t>a m</w:t>
      </w:r>
      <w:r w:rsidRPr="00B4684D">
        <w:t>anual handling care plan, equipment and resources are in place</w:t>
      </w:r>
      <w:r>
        <w:t xml:space="preserve"> prior to discharge</w:t>
      </w:r>
      <w:r w:rsidRPr="00B4684D">
        <w:t xml:space="preserve">. </w:t>
      </w:r>
      <w:r>
        <w:t xml:space="preserve">The </w:t>
      </w:r>
      <w:r w:rsidRPr="00882585">
        <w:t xml:space="preserve">patient </w:t>
      </w:r>
      <w:r>
        <w:t>should be</w:t>
      </w:r>
      <w:r w:rsidRPr="00882585">
        <w:t xml:space="preserve"> aware of</w:t>
      </w:r>
      <w:r>
        <w:t>,</w:t>
      </w:r>
      <w:r w:rsidRPr="00882585">
        <w:t xml:space="preserve"> and included in discussion of plans for change in care location or discharge.</w:t>
      </w:r>
    </w:p>
    <w:p w14:paraId="26E94317" w14:textId="77777777" w:rsidR="007A494D" w:rsidRPr="00B4684D" w:rsidRDefault="007A494D" w:rsidP="007A494D">
      <w:pPr>
        <w:rPr>
          <w:rFonts w:cs="Calibri"/>
          <w:szCs w:val="24"/>
        </w:rPr>
      </w:pPr>
    </w:p>
    <w:p w14:paraId="5DBF9A47" w14:textId="77777777" w:rsidR="007A494D" w:rsidRPr="00B4684D" w:rsidRDefault="007A494D" w:rsidP="007A494D">
      <w:pPr>
        <w:rPr>
          <w:rFonts w:cs="Calibri"/>
          <w:szCs w:val="24"/>
        </w:rPr>
      </w:pPr>
      <w:r w:rsidRPr="00B4684D">
        <w:rPr>
          <w:rFonts w:cs="Calibri"/>
          <w:szCs w:val="24"/>
        </w:rPr>
        <w:t>The discharge plan must:</w:t>
      </w:r>
    </w:p>
    <w:p w14:paraId="1A8E8D3B" w14:textId="77777777" w:rsidR="007A494D" w:rsidRPr="00B4684D" w:rsidRDefault="007A494D" w:rsidP="007A494D">
      <w:pPr>
        <w:pStyle w:val="ListBullet"/>
      </w:pPr>
      <w:r w:rsidRPr="00B4684D">
        <w:t>Commence on admission,</w:t>
      </w:r>
    </w:p>
    <w:p w14:paraId="69CCD870" w14:textId="77777777" w:rsidR="007A494D" w:rsidRPr="00B4684D" w:rsidRDefault="007A494D" w:rsidP="007A494D">
      <w:pPr>
        <w:pStyle w:val="ListBullet"/>
      </w:pPr>
      <w:r w:rsidRPr="00B4684D">
        <w:t>Be multidisciplinary,</w:t>
      </w:r>
    </w:p>
    <w:p w14:paraId="72982FE1" w14:textId="77777777" w:rsidR="007A494D" w:rsidRPr="00B4684D" w:rsidRDefault="007A494D" w:rsidP="007A494D">
      <w:pPr>
        <w:pStyle w:val="ListBullet"/>
      </w:pPr>
      <w:r w:rsidRPr="00B4684D">
        <w:t>Involve the patient/carer and family,</w:t>
      </w:r>
    </w:p>
    <w:p w14:paraId="5371B9DB" w14:textId="77777777" w:rsidR="007A494D" w:rsidRPr="00B4684D" w:rsidRDefault="007A494D" w:rsidP="007A494D">
      <w:pPr>
        <w:pStyle w:val="ListBullet"/>
      </w:pPr>
      <w:r w:rsidRPr="00B4684D">
        <w:t xml:space="preserve">Be documented in the patient’s care plan, </w:t>
      </w:r>
    </w:p>
    <w:p w14:paraId="4CF3EEC9" w14:textId="77777777" w:rsidR="007A494D" w:rsidRPr="00B4684D" w:rsidRDefault="007A494D" w:rsidP="007A494D">
      <w:pPr>
        <w:pStyle w:val="ListBullet"/>
      </w:pPr>
      <w:r w:rsidRPr="00B4684D">
        <w:t>Identify the discharge destination (including location, equipment and staffing),</w:t>
      </w:r>
    </w:p>
    <w:p w14:paraId="451C61E5" w14:textId="77777777" w:rsidR="007A494D" w:rsidRPr="00B4684D" w:rsidRDefault="007A494D" w:rsidP="007A494D">
      <w:pPr>
        <w:pStyle w:val="ListBullet"/>
      </w:pPr>
      <w:r w:rsidRPr="00B4684D">
        <w:t xml:space="preserve">Identify transport requirements and arrangements, </w:t>
      </w:r>
    </w:p>
    <w:p w14:paraId="6CE475F7" w14:textId="77777777" w:rsidR="007A494D" w:rsidRDefault="007A494D" w:rsidP="007A494D">
      <w:pPr>
        <w:pStyle w:val="ListBullet"/>
      </w:pPr>
      <w:r>
        <w:t>Identify appropriate nursing and/or allied health services required to facilitate discharge and/or ongoing support in the community - including both inpatient and community based services;</w:t>
      </w:r>
    </w:p>
    <w:p w14:paraId="138E7487" w14:textId="77777777" w:rsidR="007A494D" w:rsidRDefault="007A494D" w:rsidP="007A494D">
      <w:pPr>
        <w:pStyle w:val="ListBullet"/>
      </w:pPr>
      <w:r>
        <w:t>Include assessment of any home modifications required, equipment needs and where appropriate identify appropriate funding options;</w:t>
      </w:r>
    </w:p>
    <w:p w14:paraId="5B1912D1" w14:textId="77777777" w:rsidR="007A494D" w:rsidRDefault="007A494D" w:rsidP="007A494D">
      <w:pPr>
        <w:pStyle w:val="ListBullet"/>
      </w:pPr>
      <w:r>
        <w:t>Where services are required, contact the Complex C</w:t>
      </w:r>
      <w:r w:rsidRPr="00B4684D">
        <w:t xml:space="preserve">are </w:t>
      </w:r>
      <w:r>
        <w:t xml:space="preserve">CNC </w:t>
      </w:r>
      <w:r w:rsidRPr="00B4684D">
        <w:t xml:space="preserve">to </w:t>
      </w:r>
      <w:r>
        <w:t>assist with discharge planning;</w:t>
      </w:r>
    </w:p>
    <w:p w14:paraId="6BF3C978" w14:textId="77777777" w:rsidR="007A494D" w:rsidRPr="00B4684D" w:rsidRDefault="007A494D" w:rsidP="007A494D">
      <w:pPr>
        <w:pStyle w:val="ListBullet"/>
      </w:pPr>
      <w:r>
        <w:t>Where nursing and/ or allied health services are required in the community, the multidisciplinary team should be involved in making this referral.</w:t>
      </w:r>
    </w:p>
    <w:p w14:paraId="0284EFDE" w14:textId="77777777" w:rsidR="007A494D" w:rsidRDefault="007A494D" w:rsidP="007A494D">
      <w:pPr>
        <w:outlineLvl w:val="0"/>
        <w:rPr>
          <w:i/>
          <w:szCs w:val="24"/>
        </w:rPr>
      </w:pPr>
    </w:p>
    <w:p w14:paraId="40F2C116" w14:textId="77777777" w:rsidR="007A494D" w:rsidRPr="00B4684D" w:rsidRDefault="007A494D" w:rsidP="007A494D">
      <w:pPr>
        <w:rPr>
          <w:rFonts w:cs="Calibri"/>
          <w:szCs w:val="24"/>
        </w:rPr>
      </w:pPr>
      <w:r w:rsidRPr="00B4684D">
        <w:rPr>
          <w:rFonts w:cs="Calibri"/>
          <w:szCs w:val="24"/>
        </w:rPr>
        <w:t xml:space="preserve">Requirements for discharge: </w:t>
      </w:r>
    </w:p>
    <w:p w14:paraId="3BE62DA1" w14:textId="77777777" w:rsidR="007A494D" w:rsidRPr="00B4684D" w:rsidRDefault="007A494D" w:rsidP="007A494D">
      <w:pPr>
        <w:pStyle w:val="ListBullet"/>
      </w:pPr>
      <w:r w:rsidRPr="00B4684D">
        <w:t xml:space="preserve">Access and space in home environment, </w:t>
      </w:r>
    </w:p>
    <w:p w14:paraId="087152A8" w14:textId="77777777" w:rsidR="007A494D" w:rsidRPr="00B4684D" w:rsidRDefault="007A494D" w:rsidP="007A494D">
      <w:pPr>
        <w:pStyle w:val="ListBullet"/>
      </w:pPr>
      <w:r w:rsidRPr="00B4684D">
        <w:t xml:space="preserve">Equipment requirements with appropriate </w:t>
      </w:r>
      <w:r>
        <w:t>safe working loads</w:t>
      </w:r>
      <w:r w:rsidRPr="00B4684D">
        <w:t>,</w:t>
      </w:r>
    </w:p>
    <w:p w14:paraId="7E7CB059" w14:textId="77777777" w:rsidR="007A494D" w:rsidRPr="00B4684D" w:rsidRDefault="007A494D" w:rsidP="007A494D">
      <w:pPr>
        <w:pStyle w:val="ListBullet"/>
      </w:pPr>
      <w:r w:rsidRPr="00B4684D">
        <w:t>Home support services requirements are in place,</w:t>
      </w:r>
    </w:p>
    <w:p w14:paraId="108644D0" w14:textId="77777777" w:rsidR="007A494D" w:rsidRPr="00B4684D" w:rsidRDefault="007A494D" w:rsidP="007A494D">
      <w:pPr>
        <w:pStyle w:val="ListBullet"/>
        <w:rPr>
          <w:rFonts w:cs="Arial"/>
        </w:rPr>
      </w:pPr>
      <w:r w:rsidRPr="00B4684D">
        <w:t>Communication with other agencies and services e.g. GP, home support agencies</w:t>
      </w:r>
      <w:r>
        <w:t>,</w:t>
      </w:r>
      <w:r w:rsidRPr="00B4684D">
        <w:t xml:space="preserve"> community nursing</w:t>
      </w:r>
      <w:r>
        <w:t xml:space="preserve"> and community allied health</w:t>
      </w:r>
      <w:r w:rsidRPr="00B4684D">
        <w:t xml:space="preserve">. </w:t>
      </w:r>
    </w:p>
    <w:p w14:paraId="0A0AAA6B" w14:textId="77777777" w:rsidR="007A494D" w:rsidRDefault="007A494D" w:rsidP="007A494D">
      <w:pPr>
        <w:jc w:val="right"/>
      </w:pPr>
    </w:p>
    <w:p w14:paraId="56388FF4" w14:textId="77777777" w:rsidR="007A494D" w:rsidRDefault="007A494D" w:rsidP="007A494D">
      <w:pPr>
        <w:jc w:val="right"/>
        <w:rPr>
          <w:rFonts w:cs="Arial"/>
          <w:i/>
          <w:szCs w:val="24"/>
        </w:rPr>
      </w:pPr>
      <w:hyperlink w:anchor="Contents" w:history="1">
        <w:r w:rsidRPr="00590902">
          <w:rPr>
            <w:rStyle w:val="Hyperlink"/>
            <w:rFonts w:cs="Arial"/>
            <w:i/>
            <w:szCs w:val="24"/>
          </w:rPr>
          <w:t>Back to Table of Contents</w:t>
        </w:r>
      </w:hyperlink>
      <w:r>
        <w:rPr>
          <w:rFonts w:cs="Arial"/>
          <w:i/>
          <w:szCs w:val="24"/>
        </w:rPr>
        <w:t xml:space="preserve"> </w:t>
      </w:r>
    </w:p>
    <w:p w14:paraId="52F76F9D" w14:textId="77777777" w:rsidR="007A494D" w:rsidRDefault="007A494D" w:rsidP="007A494D">
      <w:pPr>
        <w:pStyle w:val="ProcedureTemplate"/>
        <w:framePr w:wrap="around"/>
      </w:pPr>
    </w:p>
    <w:p w14:paraId="7981AA0E" w14:textId="77777777" w:rsidR="007A494D" w:rsidRDefault="007A494D" w:rsidP="007A494D">
      <w:bookmarkStart w:id="29" w:name="_Toc389473281"/>
      <w:r>
        <w:rPr>
          <w:b/>
          <w:iCs/>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7A494D" w:rsidRPr="00CD1C0E" w14:paraId="248EF826" w14:textId="77777777" w:rsidTr="0081235F">
        <w:trPr>
          <w:cantSplit/>
          <w:trHeight w:val="285"/>
        </w:trPr>
        <w:tc>
          <w:tcPr>
            <w:tcW w:w="9158" w:type="dxa"/>
            <w:shd w:val="clear" w:color="auto" w:fill="A6A6A6" w:themeFill="background1" w:themeFillShade="A6"/>
          </w:tcPr>
          <w:p w14:paraId="7E65DAFC" w14:textId="77777777" w:rsidR="007A494D" w:rsidRPr="00C76688" w:rsidRDefault="007A494D" w:rsidP="0081235F">
            <w:pPr>
              <w:pStyle w:val="Heading1"/>
            </w:pPr>
            <w:bookmarkStart w:id="30" w:name="_Toc509388176"/>
            <w:r w:rsidRPr="00C76688">
              <w:t>Section 2 –</w:t>
            </w:r>
            <w:bookmarkEnd w:id="29"/>
            <w:r>
              <w:rPr>
                <w:szCs w:val="24"/>
              </w:rPr>
              <w:t xml:space="preserve"> Other Manual Handling N</w:t>
            </w:r>
            <w:r w:rsidRPr="00882585">
              <w:rPr>
                <w:szCs w:val="24"/>
              </w:rPr>
              <w:t>eeds</w:t>
            </w:r>
            <w:bookmarkEnd w:id="30"/>
          </w:p>
        </w:tc>
      </w:tr>
    </w:tbl>
    <w:p w14:paraId="1BD2945C" w14:textId="77777777" w:rsidR="007A494D" w:rsidRDefault="007A494D" w:rsidP="007A494D">
      <w:pPr>
        <w:rPr>
          <w:rFonts w:cs="Arial"/>
          <w:b/>
          <w:szCs w:val="24"/>
        </w:rPr>
      </w:pPr>
    </w:p>
    <w:p w14:paraId="78925CFE" w14:textId="77777777" w:rsidR="007A494D" w:rsidRDefault="007A494D" w:rsidP="007A494D">
      <w:pPr>
        <w:rPr>
          <w:rFonts w:cs="Calibri"/>
          <w:szCs w:val="24"/>
        </w:rPr>
      </w:pPr>
      <w:r w:rsidRPr="006E5B6F">
        <w:rPr>
          <w:rFonts w:cs="Calibri"/>
          <w:szCs w:val="24"/>
        </w:rPr>
        <w:t>Safe manual handling should be planned for</w:t>
      </w:r>
      <w:r>
        <w:rPr>
          <w:rFonts w:cs="Calibri"/>
          <w:szCs w:val="24"/>
        </w:rPr>
        <w:t>, including the following:</w:t>
      </w:r>
    </w:p>
    <w:p w14:paraId="220678BB" w14:textId="77777777" w:rsidR="007A494D" w:rsidRPr="00E35025" w:rsidRDefault="007A494D" w:rsidP="007A494D">
      <w:pPr>
        <w:pStyle w:val="Heading2"/>
      </w:pPr>
    </w:p>
    <w:p w14:paraId="6D526C88" w14:textId="77777777" w:rsidR="007A494D" w:rsidRPr="00E35025" w:rsidRDefault="007A494D" w:rsidP="007A494D">
      <w:pPr>
        <w:pStyle w:val="Heading2"/>
      </w:pPr>
      <w:bookmarkStart w:id="31" w:name="_Toc509388177"/>
      <w:r>
        <w:t>2.1 Transport</w:t>
      </w:r>
      <w:bookmarkEnd w:id="31"/>
    </w:p>
    <w:p w14:paraId="0E1A8C01" w14:textId="77777777" w:rsidR="007A494D" w:rsidRPr="00B4684D" w:rsidRDefault="007A494D" w:rsidP="007A494D">
      <w:pPr>
        <w:rPr>
          <w:rFonts w:cs="Calibri"/>
          <w:szCs w:val="24"/>
        </w:rPr>
      </w:pPr>
      <w:r w:rsidRPr="00B4684D">
        <w:rPr>
          <w:rFonts w:cs="Calibri"/>
          <w:szCs w:val="24"/>
        </w:rPr>
        <w:t>Transport can be for:</w:t>
      </w:r>
    </w:p>
    <w:p w14:paraId="2B79B9BD" w14:textId="77777777" w:rsidR="007A494D" w:rsidRPr="00B4684D" w:rsidRDefault="007A494D" w:rsidP="007A494D">
      <w:pPr>
        <w:pStyle w:val="ListBullet"/>
      </w:pPr>
      <w:r w:rsidRPr="00B4684D">
        <w:t>Inter-departmental transfers e.g. radiography, transfer to theatre;</w:t>
      </w:r>
    </w:p>
    <w:p w14:paraId="77D7440D" w14:textId="77777777" w:rsidR="007A494D" w:rsidRPr="00B4684D" w:rsidRDefault="007A494D" w:rsidP="007A494D">
      <w:pPr>
        <w:pStyle w:val="ListBullet"/>
      </w:pPr>
      <w:r w:rsidRPr="00B4684D">
        <w:t>Ambulance transfers and discharge transport to place of residence; or</w:t>
      </w:r>
    </w:p>
    <w:p w14:paraId="185A9000" w14:textId="77777777" w:rsidR="007A494D" w:rsidRPr="00B4684D" w:rsidRDefault="007A494D" w:rsidP="007A494D">
      <w:pPr>
        <w:pStyle w:val="ListBullet"/>
      </w:pPr>
      <w:r w:rsidRPr="00B4684D">
        <w:t>Ambulance transportation to short outpatient or clinic appointments.</w:t>
      </w:r>
    </w:p>
    <w:p w14:paraId="65530B6B" w14:textId="77777777" w:rsidR="007A494D" w:rsidRDefault="007A494D" w:rsidP="007A494D">
      <w:pPr>
        <w:pStyle w:val="ListBullet"/>
        <w:numPr>
          <w:ilvl w:val="0"/>
          <w:numId w:val="0"/>
        </w:numPr>
      </w:pPr>
    </w:p>
    <w:p w14:paraId="3DE9E349" w14:textId="77777777" w:rsidR="007A494D" w:rsidRPr="005C1F49" w:rsidRDefault="007A494D" w:rsidP="007A494D">
      <w:pPr>
        <w:pStyle w:val="ListBullet"/>
        <w:numPr>
          <w:ilvl w:val="0"/>
          <w:numId w:val="0"/>
        </w:numPr>
      </w:pPr>
      <w:r w:rsidRPr="00347310">
        <w:t>When requesting transportation, always inform the transporting and receiving services of the pa</w:t>
      </w:r>
      <w:r>
        <w:t>tient’s weight, height and waist circumference</w:t>
      </w:r>
      <w:r w:rsidRPr="00347310">
        <w:t>. This information determines the response and equipment that can be safely used. Ensure the manual handling care plan accompani</w:t>
      </w:r>
      <w:r>
        <w:t xml:space="preserve">es the patient. </w:t>
      </w:r>
    </w:p>
    <w:p w14:paraId="50C13213" w14:textId="77777777" w:rsidR="007A494D" w:rsidRDefault="007A494D" w:rsidP="007A494D">
      <w:pPr>
        <w:rPr>
          <w:rFonts w:cs="Calibri"/>
          <w:szCs w:val="24"/>
        </w:rPr>
      </w:pPr>
    </w:p>
    <w:p w14:paraId="1EAAD27B" w14:textId="77777777" w:rsidR="007A494D" w:rsidRPr="00B4684D" w:rsidRDefault="007A494D" w:rsidP="007A494D">
      <w:pPr>
        <w:rPr>
          <w:rFonts w:cs="Calibri"/>
          <w:szCs w:val="24"/>
        </w:rPr>
      </w:pPr>
      <w:r w:rsidRPr="00B4684D">
        <w:rPr>
          <w:rFonts w:cs="Calibri"/>
          <w:szCs w:val="24"/>
        </w:rPr>
        <w:t>Staff must:</w:t>
      </w:r>
    </w:p>
    <w:p w14:paraId="1A59686A" w14:textId="77777777" w:rsidR="007A494D" w:rsidRPr="00B4684D" w:rsidRDefault="007A494D" w:rsidP="007A494D">
      <w:pPr>
        <w:pStyle w:val="ListBullet"/>
      </w:pPr>
      <w:r w:rsidRPr="00B4684D">
        <w:t>Check that the receiving area and equipment dimensions are suitable to conduct the procedure,</w:t>
      </w:r>
    </w:p>
    <w:p w14:paraId="73077908" w14:textId="77777777" w:rsidR="007A494D" w:rsidRPr="00B4684D" w:rsidRDefault="007A494D" w:rsidP="007A494D">
      <w:pPr>
        <w:pStyle w:val="ListBullet"/>
      </w:pPr>
      <w:r w:rsidRPr="00B4684D">
        <w:t xml:space="preserve">Inform the transporting and receiving services of the patient’s weight, height and </w:t>
      </w:r>
      <w:r>
        <w:t>waist circumference</w:t>
      </w:r>
      <w:r w:rsidRPr="00B4684D">
        <w:t xml:space="preserve"> to assist in ensuring that appropriate equipment is used, and</w:t>
      </w:r>
    </w:p>
    <w:p w14:paraId="00BB0F89" w14:textId="77777777" w:rsidR="007A494D" w:rsidRPr="00B4684D" w:rsidRDefault="007A494D" w:rsidP="007A494D">
      <w:pPr>
        <w:pStyle w:val="ListBullet"/>
      </w:pPr>
      <w:r w:rsidRPr="00B4684D">
        <w:t xml:space="preserve">Make sure the manual handling care plan accompanies the patient. </w:t>
      </w:r>
    </w:p>
    <w:p w14:paraId="234FB657" w14:textId="77777777" w:rsidR="007A494D" w:rsidRPr="00B4684D" w:rsidRDefault="007A494D" w:rsidP="007A494D">
      <w:pPr>
        <w:pStyle w:val="ListBullet"/>
      </w:pPr>
      <w:r w:rsidRPr="00B4684D">
        <w:t>For long trips also consider toileting arrangements for the patient on route.</w:t>
      </w:r>
    </w:p>
    <w:p w14:paraId="4412EA98" w14:textId="77777777" w:rsidR="007A494D" w:rsidRPr="00AA698C" w:rsidRDefault="007A494D" w:rsidP="007A494D">
      <w:pPr>
        <w:pStyle w:val="ListBullet"/>
      </w:pPr>
      <w:r w:rsidRPr="00AA698C">
        <w:t xml:space="preserve">For bariatric ambulance non emergency patient transport services and bookings contact the ACT Ambulance Service (ph 02 62004126) or NSW Ambulance Service (ph 131 233). If air transport is required contact the NSW Ambulance Aeromedical Service (ph 1300 365 333). These services require advance notice for the transport of bariatric patients.  </w:t>
      </w:r>
    </w:p>
    <w:p w14:paraId="24BE9709" w14:textId="77777777" w:rsidR="007A494D" w:rsidRDefault="007A494D" w:rsidP="007A494D">
      <w:pPr>
        <w:pStyle w:val="ListBullet"/>
        <w:numPr>
          <w:ilvl w:val="0"/>
          <w:numId w:val="0"/>
        </w:numPr>
      </w:pPr>
    </w:p>
    <w:p w14:paraId="3EB4ECEA" w14:textId="77777777" w:rsidR="007A494D" w:rsidRPr="00E35025" w:rsidRDefault="007A494D" w:rsidP="007A494D">
      <w:pPr>
        <w:pStyle w:val="Heading2"/>
      </w:pPr>
      <w:bookmarkStart w:id="32" w:name="_Toc509388178"/>
      <w:r>
        <w:t>2.2</w:t>
      </w:r>
      <w:r w:rsidRPr="00E35025">
        <w:t xml:space="preserve"> Fire and </w:t>
      </w:r>
      <w:r>
        <w:t>o</w:t>
      </w:r>
      <w:r w:rsidRPr="00E35025">
        <w:t>ther emergency evacuation</w:t>
      </w:r>
      <w:bookmarkEnd w:id="32"/>
    </w:p>
    <w:p w14:paraId="3DF1B323" w14:textId="77777777" w:rsidR="007A494D" w:rsidRDefault="007A494D" w:rsidP="007A494D">
      <w:pPr>
        <w:rPr>
          <w:rFonts w:cs="Calibri"/>
          <w:szCs w:val="24"/>
        </w:rPr>
      </w:pPr>
      <w:r>
        <w:rPr>
          <w:rFonts w:cs="Calibri"/>
          <w:szCs w:val="24"/>
        </w:rPr>
        <w:t>Staff should follow the standard evacuation process covered in the ACT Health Fire and Emergency training, being mindful that larger patients may be less mobile.</w:t>
      </w:r>
    </w:p>
    <w:p w14:paraId="7C720F4B" w14:textId="77777777" w:rsidR="007A494D" w:rsidRDefault="007A494D" w:rsidP="007A494D"/>
    <w:p w14:paraId="3EC19852" w14:textId="77777777" w:rsidR="007A494D" w:rsidRPr="00E35025" w:rsidRDefault="007A494D" w:rsidP="007A494D">
      <w:pPr>
        <w:pStyle w:val="Heading2"/>
      </w:pPr>
      <w:bookmarkStart w:id="33" w:name="_Toc509388179"/>
      <w:r>
        <w:t xml:space="preserve">2.3 </w:t>
      </w:r>
      <w:r w:rsidRPr="00E35025">
        <w:t>Death of a patient at the Canberra Hospital</w:t>
      </w:r>
      <w:bookmarkEnd w:id="33"/>
    </w:p>
    <w:p w14:paraId="23FD672B" w14:textId="77777777" w:rsidR="007A494D" w:rsidRPr="00B4684D" w:rsidRDefault="007A494D" w:rsidP="007A494D">
      <w:pPr>
        <w:rPr>
          <w:szCs w:val="24"/>
        </w:rPr>
      </w:pPr>
      <w:r>
        <w:rPr>
          <w:rFonts w:cs="Calibri"/>
          <w:szCs w:val="24"/>
        </w:rPr>
        <w:t>Staff are required to follow the CHHS Operational Procedure-When Death Occurs.</w:t>
      </w:r>
      <w:r w:rsidRPr="00B4684D">
        <w:rPr>
          <w:rFonts w:cs="Calibri"/>
          <w:szCs w:val="24"/>
        </w:rPr>
        <w:t xml:space="preserve"> It is important to provide the mortuary with the weight, height and width measurements of the deceased patient because there are size limitations for storing the body of a larger adult in the mortuary. Bariatric body bags are available from ward services. </w:t>
      </w:r>
      <w:r w:rsidRPr="00347310">
        <w:rPr>
          <w:rFonts w:cs="Calibri"/>
          <w:szCs w:val="24"/>
        </w:rPr>
        <w:t xml:space="preserve">Transport the patient on their </w:t>
      </w:r>
      <w:r>
        <w:rPr>
          <w:rFonts w:cs="Calibri"/>
          <w:szCs w:val="24"/>
        </w:rPr>
        <w:t xml:space="preserve">bariatric </w:t>
      </w:r>
      <w:r w:rsidRPr="00347310">
        <w:rPr>
          <w:rFonts w:cs="Calibri"/>
          <w:szCs w:val="24"/>
        </w:rPr>
        <w:t>bed to the mortuary.</w:t>
      </w:r>
    </w:p>
    <w:p w14:paraId="4B6BAD3E" w14:textId="77777777" w:rsidR="007A494D" w:rsidRDefault="007A494D" w:rsidP="007A494D">
      <w:pPr>
        <w:jc w:val="right"/>
      </w:pPr>
    </w:p>
    <w:p w14:paraId="7CE20E71" w14:textId="77777777" w:rsidR="007A494D" w:rsidRDefault="007A494D" w:rsidP="007A494D">
      <w:pPr>
        <w:jc w:val="right"/>
        <w:rPr>
          <w:rFonts w:cs="Arial"/>
          <w:i/>
          <w:szCs w:val="24"/>
        </w:rPr>
      </w:pPr>
      <w:hyperlink w:anchor="Contents" w:history="1">
        <w:r w:rsidRPr="00590902">
          <w:rPr>
            <w:rStyle w:val="Hyperlink"/>
            <w:rFonts w:cs="Arial"/>
            <w:i/>
            <w:szCs w:val="24"/>
          </w:rPr>
          <w:t>Back to Table of Contents</w:t>
        </w:r>
      </w:hyperlink>
      <w:r>
        <w:rPr>
          <w:rFonts w:cs="Arial"/>
          <w:i/>
          <w:szCs w:val="24"/>
        </w:rPr>
        <w:t xml:space="preserve"> </w:t>
      </w:r>
    </w:p>
    <w:p w14:paraId="07510CF9" w14:textId="77777777" w:rsidR="007A494D" w:rsidRDefault="007A494D" w:rsidP="007A494D">
      <w:r>
        <w:rPr>
          <w:b/>
          <w:iCs/>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7A494D" w:rsidRPr="00CD1C0E" w14:paraId="742C0463" w14:textId="77777777" w:rsidTr="0081235F">
        <w:trPr>
          <w:cantSplit/>
          <w:trHeight w:val="285"/>
        </w:trPr>
        <w:tc>
          <w:tcPr>
            <w:tcW w:w="9158" w:type="dxa"/>
            <w:shd w:val="clear" w:color="auto" w:fill="A6A6A6" w:themeFill="background1" w:themeFillShade="A6"/>
          </w:tcPr>
          <w:p w14:paraId="4B6B731D" w14:textId="77777777" w:rsidR="007A494D" w:rsidRPr="00CD1C0E" w:rsidRDefault="007A494D" w:rsidP="0081235F">
            <w:pPr>
              <w:pStyle w:val="Heading1"/>
            </w:pPr>
            <w:bookmarkStart w:id="34" w:name="_Toc509388180"/>
            <w:r>
              <w:t>Section 3 – Clinical Issues Managing Class 3 Obesity (BMI</w:t>
            </w:r>
            <w:r>
              <w:rPr>
                <w:color w:val="1A161A"/>
              </w:rPr>
              <w:t>≥40)</w:t>
            </w:r>
            <w:bookmarkEnd w:id="34"/>
          </w:p>
        </w:tc>
      </w:tr>
    </w:tbl>
    <w:p w14:paraId="57B13689" w14:textId="77777777" w:rsidR="007A494D" w:rsidRDefault="007A494D" w:rsidP="007A494D">
      <w:pPr>
        <w:rPr>
          <w:b/>
        </w:rPr>
      </w:pPr>
    </w:p>
    <w:p w14:paraId="44860740" w14:textId="77777777" w:rsidR="007A494D" w:rsidRPr="00B03BF6" w:rsidRDefault="007A494D" w:rsidP="007A494D">
      <w:pPr>
        <w:pStyle w:val="Heading2"/>
      </w:pPr>
      <w:bookmarkStart w:id="35" w:name="_Toc509388181"/>
      <w:r>
        <w:t xml:space="preserve">3.1 </w:t>
      </w:r>
      <w:r w:rsidRPr="00B03BF6">
        <w:t>Definition of Class 3 obesity in adults</w:t>
      </w:r>
      <w:bookmarkEnd w:id="35"/>
    </w:p>
    <w:p w14:paraId="64D10827" w14:textId="77777777" w:rsidR="007A494D" w:rsidRDefault="007A494D" w:rsidP="007A494D">
      <w:r>
        <w:t>Class 3 obesity is defined as a person with a Body Mass Index (BMI) of 40 or more and is associated with a very severe risk of co-morbidities. Please refer to Table 1 for other classess of weight classification.</w:t>
      </w:r>
    </w:p>
    <w:p w14:paraId="42329B35" w14:textId="77777777" w:rsidR="007A494D" w:rsidRDefault="007A494D" w:rsidP="007A494D"/>
    <w:p w14:paraId="2A790E55" w14:textId="77777777" w:rsidR="007A494D" w:rsidRDefault="007A494D" w:rsidP="007A494D">
      <w:r>
        <w:t>Table 1: Classification of weight by BMI</w:t>
      </w:r>
      <w:r>
        <w:rPr>
          <w:vertAlign w:val="superscript"/>
        </w:rPr>
        <w:t>1,7</w:t>
      </w:r>
      <w:r>
        <w:t xml:space="preserve"> in Adults</w:t>
      </w:r>
    </w:p>
    <w:tbl>
      <w:tblPr>
        <w:tblW w:w="0" w:type="auto"/>
        <w:tblLayout w:type="fixed"/>
        <w:tblCellMar>
          <w:left w:w="0" w:type="dxa"/>
          <w:right w:w="0" w:type="dxa"/>
        </w:tblCellMar>
        <w:tblLook w:val="01E0" w:firstRow="1" w:lastRow="1" w:firstColumn="1" w:lastColumn="1" w:noHBand="0" w:noVBand="0"/>
      </w:tblPr>
      <w:tblGrid>
        <w:gridCol w:w="1795"/>
        <w:gridCol w:w="2369"/>
        <w:gridCol w:w="2609"/>
      </w:tblGrid>
      <w:tr w:rsidR="007A494D" w14:paraId="0DF38121" w14:textId="77777777" w:rsidTr="0081235F">
        <w:trPr>
          <w:trHeight w:val="537"/>
        </w:trPr>
        <w:tc>
          <w:tcPr>
            <w:tcW w:w="1795" w:type="dxa"/>
            <w:tcBorders>
              <w:top w:val="single" w:sz="8" w:space="0" w:color="4E81BD"/>
              <w:left w:val="single" w:sz="8" w:space="0" w:color="4E81BD"/>
              <w:bottom w:val="single" w:sz="4" w:space="0" w:color="000000"/>
            </w:tcBorders>
          </w:tcPr>
          <w:p w14:paraId="012790B3" w14:textId="77777777" w:rsidR="007A494D" w:rsidRDefault="007A494D" w:rsidP="0081235F">
            <w:pPr>
              <w:pStyle w:val="TableParagraph"/>
              <w:spacing w:line="265" w:lineRule="exact"/>
              <w:rPr>
                <w:b/>
              </w:rPr>
            </w:pPr>
            <w:r>
              <w:rPr>
                <w:b/>
              </w:rPr>
              <w:t>BMI (Kg/m</w:t>
            </w:r>
            <w:r>
              <w:rPr>
                <w:b/>
                <w:vertAlign w:val="superscript"/>
              </w:rPr>
              <w:t>2</w:t>
            </w:r>
            <w:r>
              <w:rPr>
                <w:b/>
              </w:rPr>
              <w:t>)</w:t>
            </w:r>
          </w:p>
        </w:tc>
        <w:tc>
          <w:tcPr>
            <w:tcW w:w="2369" w:type="dxa"/>
            <w:tcBorders>
              <w:top w:val="single" w:sz="8" w:space="0" w:color="4E81BD"/>
              <w:bottom w:val="single" w:sz="4" w:space="0" w:color="000000"/>
            </w:tcBorders>
          </w:tcPr>
          <w:p w14:paraId="65E6D0E2" w14:textId="77777777" w:rsidR="007A494D" w:rsidRDefault="007A494D" w:rsidP="0081235F">
            <w:pPr>
              <w:pStyle w:val="TableParagraph"/>
              <w:spacing w:line="265" w:lineRule="exact"/>
              <w:ind w:left="420"/>
              <w:rPr>
                <w:b/>
              </w:rPr>
            </w:pPr>
            <w:r>
              <w:rPr>
                <w:b/>
              </w:rPr>
              <w:t>Classification</w:t>
            </w:r>
          </w:p>
        </w:tc>
        <w:tc>
          <w:tcPr>
            <w:tcW w:w="2609" w:type="dxa"/>
            <w:tcBorders>
              <w:top w:val="single" w:sz="8" w:space="0" w:color="4E81BD"/>
              <w:bottom w:val="single" w:sz="4" w:space="0" w:color="000000"/>
              <w:right w:val="single" w:sz="8" w:space="0" w:color="4E81BD"/>
            </w:tcBorders>
          </w:tcPr>
          <w:p w14:paraId="62E84E3C" w14:textId="77777777" w:rsidR="007A494D" w:rsidRDefault="007A494D" w:rsidP="0081235F">
            <w:pPr>
              <w:pStyle w:val="TableParagraph"/>
              <w:spacing w:line="265" w:lineRule="exact"/>
              <w:ind w:left="611"/>
              <w:rPr>
                <w:b/>
              </w:rPr>
            </w:pPr>
            <w:r>
              <w:rPr>
                <w:b/>
              </w:rPr>
              <w:t>Risk of co-</w:t>
            </w:r>
          </w:p>
          <w:p w14:paraId="050E3AD4" w14:textId="77777777" w:rsidR="007A494D" w:rsidRDefault="007A494D" w:rsidP="0081235F">
            <w:pPr>
              <w:pStyle w:val="TableParagraph"/>
              <w:spacing w:line="252" w:lineRule="exact"/>
              <w:ind w:left="611"/>
              <w:rPr>
                <w:b/>
              </w:rPr>
            </w:pPr>
            <w:r>
              <w:rPr>
                <w:b/>
              </w:rPr>
              <w:t>morbidities</w:t>
            </w:r>
          </w:p>
        </w:tc>
      </w:tr>
      <w:tr w:rsidR="007A494D" w14:paraId="2317E871" w14:textId="77777777" w:rsidTr="0081235F">
        <w:trPr>
          <w:trHeight w:val="299"/>
        </w:trPr>
        <w:tc>
          <w:tcPr>
            <w:tcW w:w="1795" w:type="dxa"/>
            <w:tcBorders>
              <w:top w:val="single" w:sz="4" w:space="0" w:color="000000"/>
              <w:left w:val="single" w:sz="8" w:space="0" w:color="4E81BD"/>
            </w:tcBorders>
          </w:tcPr>
          <w:p w14:paraId="51AD859C" w14:textId="77777777" w:rsidR="007A494D" w:rsidRDefault="007A494D" w:rsidP="0081235F">
            <w:pPr>
              <w:pStyle w:val="TableParagraph"/>
              <w:spacing w:line="265" w:lineRule="exact"/>
            </w:pPr>
            <w:r>
              <w:rPr>
                <w:color w:val="1A161A"/>
              </w:rPr>
              <w:t>Less than 18.5</w:t>
            </w:r>
          </w:p>
        </w:tc>
        <w:tc>
          <w:tcPr>
            <w:tcW w:w="2369" w:type="dxa"/>
            <w:tcBorders>
              <w:top w:val="single" w:sz="4" w:space="0" w:color="000000"/>
            </w:tcBorders>
          </w:tcPr>
          <w:p w14:paraId="08EB9B79" w14:textId="77777777" w:rsidR="007A494D" w:rsidRDefault="007A494D" w:rsidP="0081235F">
            <w:pPr>
              <w:pStyle w:val="TableParagraph"/>
              <w:spacing w:line="265" w:lineRule="exact"/>
              <w:ind w:left="420"/>
            </w:pPr>
            <w:r>
              <w:rPr>
                <w:color w:val="1A161A"/>
              </w:rPr>
              <w:t>Underweight</w:t>
            </w:r>
          </w:p>
        </w:tc>
        <w:tc>
          <w:tcPr>
            <w:tcW w:w="2609" w:type="dxa"/>
            <w:tcBorders>
              <w:top w:val="single" w:sz="4" w:space="0" w:color="000000"/>
              <w:right w:val="single" w:sz="8" w:space="0" w:color="4E81BD"/>
            </w:tcBorders>
          </w:tcPr>
          <w:p w14:paraId="51B836B7" w14:textId="77777777" w:rsidR="007A494D" w:rsidRDefault="007A494D" w:rsidP="0081235F">
            <w:pPr>
              <w:pStyle w:val="TableParagraph"/>
              <w:ind w:left="0"/>
              <w:rPr>
                <w:rFonts w:ascii="Times New Roman"/>
              </w:rPr>
            </w:pPr>
          </w:p>
        </w:tc>
      </w:tr>
      <w:tr w:rsidR="007A494D" w14:paraId="3380F8F0" w14:textId="77777777" w:rsidTr="0081235F">
        <w:trPr>
          <w:trHeight w:val="319"/>
        </w:trPr>
        <w:tc>
          <w:tcPr>
            <w:tcW w:w="1795" w:type="dxa"/>
            <w:tcBorders>
              <w:left w:val="single" w:sz="8" w:space="0" w:color="4E81BD"/>
            </w:tcBorders>
          </w:tcPr>
          <w:p w14:paraId="673D0859" w14:textId="77777777" w:rsidR="007A494D" w:rsidRDefault="007A494D" w:rsidP="0081235F">
            <w:pPr>
              <w:pStyle w:val="TableParagraph"/>
              <w:spacing w:line="263" w:lineRule="exact"/>
            </w:pPr>
            <w:r>
              <w:rPr>
                <w:color w:val="1A161A"/>
              </w:rPr>
              <w:t>18-5–24.9</w:t>
            </w:r>
          </w:p>
        </w:tc>
        <w:tc>
          <w:tcPr>
            <w:tcW w:w="2369" w:type="dxa"/>
          </w:tcPr>
          <w:p w14:paraId="2B761B3F" w14:textId="77777777" w:rsidR="007A494D" w:rsidRDefault="007A494D" w:rsidP="0081235F">
            <w:pPr>
              <w:pStyle w:val="TableParagraph"/>
              <w:spacing w:line="263" w:lineRule="exact"/>
              <w:ind w:left="420"/>
            </w:pPr>
            <w:r>
              <w:rPr>
                <w:color w:val="1A161A"/>
              </w:rPr>
              <w:t>Healthy weight</w:t>
            </w:r>
          </w:p>
        </w:tc>
        <w:tc>
          <w:tcPr>
            <w:tcW w:w="2609" w:type="dxa"/>
            <w:tcBorders>
              <w:right w:val="single" w:sz="8" w:space="0" w:color="4E81BD"/>
            </w:tcBorders>
          </w:tcPr>
          <w:p w14:paraId="6CFFFC5A" w14:textId="77777777" w:rsidR="007A494D" w:rsidRDefault="007A494D" w:rsidP="0081235F">
            <w:pPr>
              <w:pStyle w:val="TableParagraph"/>
              <w:spacing w:line="263" w:lineRule="exact"/>
              <w:ind w:left="611"/>
            </w:pPr>
            <w:r>
              <w:rPr>
                <w:color w:val="1A161A"/>
              </w:rPr>
              <w:t>Average</w:t>
            </w:r>
          </w:p>
        </w:tc>
      </w:tr>
      <w:tr w:rsidR="007A494D" w14:paraId="39CC4B06" w14:textId="77777777" w:rsidTr="0081235F">
        <w:trPr>
          <w:trHeight w:val="344"/>
        </w:trPr>
        <w:tc>
          <w:tcPr>
            <w:tcW w:w="1795" w:type="dxa"/>
            <w:tcBorders>
              <w:left w:val="single" w:sz="8" w:space="0" w:color="4E81BD"/>
            </w:tcBorders>
          </w:tcPr>
          <w:p w14:paraId="75DAECEB" w14:textId="77777777" w:rsidR="007A494D" w:rsidRDefault="007A494D" w:rsidP="0081235F">
            <w:pPr>
              <w:pStyle w:val="TableParagraph"/>
              <w:spacing w:before="16"/>
            </w:pPr>
            <w:r>
              <w:rPr>
                <w:color w:val="1A161A"/>
              </w:rPr>
              <w:t>25.0–29.9</w:t>
            </w:r>
          </w:p>
        </w:tc>
        <w:tc>
          <w:tcPr>
            <w:tcW w:w="2369" w:type="dxa"/>
          </w:tcPr>
          <w:p w14:paraId="6ABFFC7D" w14:textId="77777777" w:rsidR="007A494D" w:rsidRDefault="007A494D" w:rsidP="0081235F">
            <w:pPr>
              <w:pStyle w:val="TableParagraph"/>
              <w:spacing w:before="16"/>
              <w:ind w:left="420"/>
            </w:pPr>
            <w:r>
              <w:rPr>
                <w:color w:val="1A161A"/>
              </w:rPr>
              <w:t>Pre-obese</w:t>
            </w:r>
          </w:p>
        </w:tc>
        <w:tc>
          <w:tcPr>
            <w:tcW w:w="2609" w:type="dxa"/>
            <w:tcBorders>
              <w:right w:val="single" w:sz="8" w:space="0" w:color="4E81BD"/>
            </w:tcBorders>
          </w:tcPr>
          <w:p w14:paraId="624630D5" w14:textId="77777777" w:rsidR="007A494D" w:rsidRDefault="007A494D" w:rsidP="0081235F">
            <w:pPr>
              <w:pStyle w:val="TableParagraph"/>
              <w:spacing w:before="16"/>
              <w:ind w:left="611"/>
            </w:pPr>
            <w:r>
              <w:rPr>
                <w:color w:val="1A161A"/>
              </w:rPr>
              <w:t>Increased</w:t>
            </w:r>
          </w:p>
        </w:tc>
      </w:tr>
      <w:tr w:rsidR="007A494D" w14:paraId="054A19CC" w14:textId="77777777" w:rsidTr="0081235F">
        <w:trPr>
          <w:trHeight w:val="349"/>
        </w:trPr>
        <w:tc>
          <w:tcPr>
            <w:tcW w:w="1795" w:type="dxa"/>
            <w:tcBorders>
              <w:left w:val="single" w:sz="8" w:space="0" w:color="4E81BD"/>
            </w:tcBorders>
          </w:tcPr>
          <w:p w14:paraId="6D66F161" w14:textId="77777777" w:rsidR="007A494D" w:rsidRDefault="007A494D" w:rsidP="0081235F">
            <w:pPr>
              <w:pStyle w:val="TableParagraph"/>
              <w:spacing w:before="19"/>
            </w:pPr>
            <w:r>
              <w:rPr>
                <w:color w:val="1A161A"/>
              </w:rPr>
              <w:t>30.0–34.9</w:t>
            </w:r>
          </w:p>
        </w:tc>
        <w:tc>
          <w:tcPr>
            <w:tcW w:w="2369" w:type="dxa"/>
          </w:tcPr>
          <w:p w14:paraId="21470C07" w14:textId="77777777" w:rsidR="007A494D" w:rsidRDefault="007A494D" w:rsidP="0081235F">
            <w:pPr>
              <w:pStyle w:val="TableParagraph"/>
              <w:spacing w:before="19"/>
              <w:ind w:left="420"/>
            </w:pPr>
            <w:r>
              <w:rPr>
                <w:color w:val="1A161A"/>
              </w:rPr>
              <w:t>Class 1 Obese</w:t>
            </w:r>
          </w:p>
        </w:tc>
        <w:tc>
          <w:tcPr>
            <w:tcW w:w="2609" w:type="dxa"/>
            <w:tcBorders>
              <w:right w:val="single" w:sz="8" w:space="0" w:color="4E81BD"/>
            </w:tcBorders>
          </w:tcPr>
          <w:p w14:paraId="3DA530B3" w14:textId="77777777" w:rsidR="007A494D" w:rsidRDefault="007A494D" w:rsidP="0081235F">
            <w:pPr>
              <w:pStyle w:val="TableParagraph"/>
              <w:spacing w:before="19"/>
              <w:ind w:left="611"/>
            </w:pPr>
            <w:r>
              <w:rPr>
                <w:color w:val="1A161A"/>
              </w:rPr>
              <w:t>Moderate</w:t>
            </w:r>
          </w:p>
        </w:tc>
      </w:tr>
      <w:tr w:rsidR="007A494D" w14:paraId="0E70B3D1" w14:textId="77777777" w:rsidTr="0081235F">
        <w:trPr>
          <w:trHeight w:val="349"/>
        </w:trPr>
        <w:tc>
          <w:tcPr>
            <w:tcW w:w="1795" w:type="dxa"/>
            <w:tcBorders>
              <w:left w:val="single" w:sz="8" w:space="0" w:color="4E81BD"/>
            </w:tcBorders>
          </w:tcPr>
          <w:p w14:paraId="06CC67A0" w14:textId="77777777" w:rsidR="007A494D" w:rsidRDefault="007A494D" w:rsidP="0081235F">
            <w:pPr>
              <w:pStyle w:val="TableParagraph"/>
              <w:spacing w:before="21"/>
            </w:pPr>
            <w:r>
              <w:t>35.0-39.9</w:t>
            </w:r>
          </w:p>
        </w:tc>
        <w:tc>
          <w:tcPr>
            <w:tcW w:w="2369" w:type="dxa"/>
          </w:tcPr>
          <w:p w14:paraId="6AB027A9" w14:textId="77777777" w:rsidR="007A494D" w:rsidRDefault="007A494D" w:rsidP="0081235F">
            <w:pPr>
              <w:pStyle w:val="TableParagraph"/>
              <w:spacing w:before="21"/>
              <w:ind w:left="420"/>
            </w:pPr>
            <w:r>
              <w:t>Class II Obese</w:t>
            </w:r>
          </w:p>
        </w:tc>
        <w:tc>
          <w:tcPr>
            <w:tcW w:w="2609" w:type="dxa"/>
            <w:tcBorders>
              <w:right w:val="single" w:sz="8" w:space="0" w:color="4E81BD"/>
            </w:tcBorders>
          </w:tcPr>
          <w:p w14:paraId="02EE63A0" w14:textId="77777777" w:rsidR="007A494D" w:rsidRDefault="007A494D" w:rsidP="0081235F">
            <w:pPr>
              <w:pStyle w:val="TableParagraph"/>
              <w:spacing w:before="21"/>
              <w:ind w:left="611"/>
            </w:pPr>
            <w:r>
              <w:t>Severe</w:t>
            </w:r>
          </w:p>
        </w:tc>
      </w:tr>
      <w:tr w:rsidR="007A494D" w14:paraId="0CC06AC4" w14:textId="77777777" w:rsidTr="0081235F">
        <w:trPr>
          <w:trHeight w:val="167"/>
        </w:trPr>
        <w:tc>
          <w:tcPr>
            <w:tcW w:w="1795" w:type="dxa"/>
            <w:tcBorders>
              <w:left w:val="single" w:sz="8" w:space="0" w:color="4E81BD"/>
              <w:bottom w:val="single" w:sz="8" w:space="0" w:color="4E81BD"/>
            </w:tcBorders>
          </w:tcPr>
          <w:p w14:paraId="14AEFF5F" w14:textId="77777777" w:rsidR="007A494D" w:rsidRDefault="007A494D" w:rsidP="0081235F">
            <w:pPr>
              <w:pStyle w:val="TableParagraph"/>
              <w:spacing w:before="19"/>
            </w:pPr>
            <w:r>
              <w:rPr>
                <w:color w:val="1A161A"/>
              </w:rPr>
              <w:t>≥40</w:t>
            </w:r>
          </w:p>
        </w:tc>
        <w:tc>
          <w:tcPr>
            <w:tcW w:w="2369" w:type="dxa"/>
            <w:tcBorders>
              <w:bottom w:val="single" w:sz="8" w:space="0" w:color="4E81BD"/>
            </w:tcBorders>
          </w:tcPr>
          <w:p w14:paraId="18878A99" w14:textId="77777777" w:rsidR="007A494D" w:rsidRDefault="007A494D" w:rsidP="0081235F">
            <w:pPr>
              <w:pStyle w:val="TableParagraph"/>
              <w:spacing w:before="19"/>
              <w:ind w:left="420"/>
            </w:pPr>
            <w:r>
              <w:t>Class III Obese</w:t>
            </w:r>
          </w:p>
        </w:tc>
        <w:tc>
          <w:tcPr>
            <w:tcW w:w="2609" w:type="dxa"/>
            <w:tcBorders>
              <w:bottom w:val="single" w:sz="8" w:space="0" w:color="4E81BD"/>
              <w:right w:val="single" w:sz="8" w:space="0" w:color="4E81BD"/>
            </w:tcBorders>
          </w:tcPr>
          <w:p w14:paraId="22DCD412" w14:textId="77777777" w:rsidR="007A494D" w:rsidRDefault="007A494D" w:rsidP="0081235F">
            <w:pPr>
              <w:pStyle w:val="TableParagraph"/>
              <w:spacing w:before="19"/>
              <w:ind w:left="611"/>
            </w:pPr>
            <w:r>
              <w:t>Very severe</w:t>
            </w:r>
          </w:p>
        </w:tc>
      </w:tr>
    </w:tbl>
    <w:p w14:paraId="4CCCABD5" w14:textId="77777777" w:rsidR="007A494D" w:rsidRDefault="007A494D" w:rsidP="007A494D">
      <w:pPr>
        <w:rPr>
          <w:rFonts w:cs="Arial"/>
          <w:i/>
          <w:szCs w:val="24"/>
        </w:rPr>
      </w:pPr>
    </w:p>
    <w:p w14:paraId="62E8E0EB" w14:textId="77777777" w:rsidR="007A494D" w:rsidRPr="0002750F" w:rsidRDefault="007A494D" w:rsidP="007A494D">
      <w:pPr>
        <w:pStyle w:val="Heading2"/>
      </w:pPr>
      <w:bookmarkStart w:id="36" w:name="_Toc509388182"/>
      <w:r>
        <w:t xml:space="preserve">3.2 </w:t>
      </w:r>
      <w:r w:rsidRPr="0002750F">
        <w:t>Documentation</w:t>
      </w:r>
      <w:bookmarkEnd w:id="36"/>
    </w:p>
    <w:p w14:paraId="1B098FB5" w14:textId="77777777" w:rsidR="007A494D" w:rsidRDefault="007A494D" w:rsidP="007A494D">
      <w:pPr>
        <w:rPr>
          <w:rFonts w:asciiTheme="minorHAnsi" w:hAnsiTheme="minorHAnsi"/>
          <w:szCs w:val="24"/>
        </w:rPr>
      </w:pPr>
      <w:r w:rsidRPr="00B4684D">
        <w:rPr>
          <w:rFonts w:asciiTheme="minorHAnsi" w:hAnsiTheme="minorHAnsi"/>
          <w:szCs w:val="24"/>
        </w:rPr>
        <w:t xml:space="preserve">Class 3 obesity is a serious disease. If a patient has </w:t>
      </w:r>
      <w:r>
        <w:rPr>
          <w:rFonts w:asciiTheme="minorHAnsi" w:hAnsiTheme="minorHAnsi"/>
          <w:szCs w:val="24"/>
        </w:rPr>
        <w:t>Class 3 obesity</w:t>
      </w:r>
      <w:r w:rsidRPr="00B4684D">
        <w:rPr>
          <w:rFonts w:asciiTheme="minorHAnsi" w:hAnsiTheme="minorHAnsi"/>
          <w:szCs w:val="24"/>
        </w:rPr>
        <w:t xml:space="preserve">, </w:t>
      </w:r>
      <w:r>
        <w:rPr>
          <w:rFonts w:asciiTheme="minorHAnsi" w:hAnsiTheme="minorHAnsi"/>
          <w:szCs w:val="24"/>
        </w:rPr>
        <w:t xml:space="preserve">it </w:t>
      </w:r>
      <w:r w:rsidRPr="00B4684D">
        <w:rPr>
          <w:rFonts w:asciiTheme="minorHAnsi" w:hAnsiTheme="minorHAnsi"/>
          <w:szCs w:val="24"/>
        </w:rPr>
        <w:t xml:space="preserve">should be noted in </w:t>
      </w:r>
      <w:r>
        <w:rPr>
          <w:rFonts w:asciiTheme="minorHAnsi" w:hAnsiTheme="minorHAnsi"/>
          <w:szCs w:val="24"/>
        </w:rPr>
        <w:t>their</w:t>
      </w:r>
      <w:r w:rsidRPr="00B4684D">
        <w:rPr>
          <w:rFonts w:asciiTheme="minorHAnsi" w:hAnsiTheme="minorHAnsi"/>
          <w:szCs w:val="24"/>
        </w:rPr>
        <w:t xml:space="preserve"> clinical record problem lists as ‘Obesity’ or ‘Obesity (Class 3)’</w:t>
      </w:r>
      <w:r w:rsidRPr="00170DCD">
        <w:rPr>
          <w:rFonts w:asciiTheme="minorHAnsi" w:hAnsiTheme="minorHAnsi"/>
          <w:szCs w:val="24"/>
        </w:rPr>
        <w:t>. The notes should also record what measures were taken specifically because the patient has obesity.</w:t>
      </w:r>
    </w:p>
    <w:p w14:paraId="58DAE1A7" w14:textId="77777777" w:rsidR="007A494D" w:rsidRDefault="007A494D" w:rsidP="007A494D">
      <w:pPr>
        <w:rPr>
          <w:rFonts w:cs="Arial"/>
          <w:i/>
          <w:szCs w:val="24"/>
        </w:rPr>
      </w:pPr>
    </w:p>
    <w:p w14:paraId="600FA7C5" w14:textId="77777777" w:rsidR="007A494D" w:rsidRPr="00B03BF6" w:rsidRDefault="007A494D" w:rsidP="007A494D">
      <w:pPr>
        <w:pStyle w:val="Heading2"/>
      </w:pPr>
      <w:bookmarkStart w:id="37" w:name="_Toc509388183"/>
      <w:r>
        <w:t xml:space="preserve">3.3 </w:t>
      </w:r>
      <w:r w:rsidRPr="00B03BF6">
        <w:t>Routine monitoring of BMI</w:t>
      </w:r>
      <w:bookmarkEnd w:id="37"/>
    </w:p>
    <w:p w14:paraId="53A4242E" w14:textId="77777777" w:rsidR="007A494D" w:rsidRDefault="007A494D" w:rsidP="007A494D">
      <w:r>
        <w:t>All patients with obesity should be routinely weighed unless contra-indicated and their BMI (kg/m</w:t>
      </w:r>
      <w:r w:rsidRPr="00886E04">
        <w:t>2</w:t>
      </w:r>
      <w:r>
        <w:t>) calculated. The f</w:t>
      </w:r>
      <w:r w:rsidRPr="00886E04">
        <w:t>requency of this will depend on their treatment regimen and clinical judgement and any significant changes or trends should be brought to the attention of the treating medical team</w:t>
      </w:r>
      <w:r>
        <w:t>. For patients with Class 3 obesity please ensure the following:</w:t>
      </w:r>
    </w:p>
    <w:p w14:paraId="5B0CDCF7" w14:textId="77777777" w:rsidR="007A494D" w:rsidRDefault="007A494D" w:rsidP="007A494D">
      <w:pPr>
        <w:pStyle w:val="ListBullet"/>
      </w:pPr>
      <w:r>
        <w:t>Obtain height from the clinical record – if unavailable, measure it if</w:t>
      </w:r>
      <w:r>
        <w:rPr>
          <w:spacing w:val="-9"/>
        </w:rPr>
        <w:t xml:space="preserve"> </w:t>
      </w:r>
      <w:r>
        <w:t>possible.</w:t>
      </w:r>
    </w:p>
    <w:p w14:paraId="1785CAEC" w14:textId="77777777" w:rsidR="007A494D" w:rsidRDefault="007A494D" w:rsidP="007A494D">
      <w:pPr>
        <w:pStyle w:val="ListBullet"/>
      </w:pPr>
      <w:r>
        <w:t>If the latest weight measurement is more than one month old, weigh the patient if possible. Some services may need to weigh patients more frequently than this based on clinical</w:t>
      </w:r>
      <w:r>
        <w:rPr>
          <w:spacing w:val="-2"/>
        </w:rPr>
        <w:t xml:space="preserve"> </w:t>
      </w:r>
      <w:r>
        <w:t>need.</w:t>
      </w:r>
    </w:p>
    <w:p w14:paraId="02C67563" w14:textId="77777777" w:rsidR="007A494D" w:rsidRDefault="007A494D" w:rsidP="007A494D">
      <w:pPr>
        <w:pStyle w:val="ListBullet"/>
      </w:pPr>
      <w:r>
        <w:t>Calculate BMI from the measured height and weight information according to the formula, BMI = Weight (kgs)/ Height(</w:t>
      </w:r>
      <w:r>
        <w:rPr>
          <w:spacing w:val="-10"/>
        </w:rPr>
        <w:t xml:space="preserve"> </w:t>
      </w:r>
      <w:r>
        <w:t>m</w:t>
      </w:r>
      <w:r>
        <w:rPr>
          <w:vertAlign w:val="superscript"/>
        </w:rPr>
        <w:t>2</w:t>
      </w:r>
      <w:r>
        <w:t>).</w:t>
      </w:r>
    </w:p>
    <w:p w14:paraId="12920C8B" w14:textId="77777777" w:rsidR="007A494D" w:rsidRDefault="007A494D" w:rsidP="007A494D">
      <w:pPr>
        <w:pStyle w:val="ListBullet"/>
      </w:pPr>
      <w:r>
        <w:t>BMI Calculator available at:</w:t>
      </w:r>
      <w:hyperlink r:id="rId13">
        <w:r>
          <w:rPr>
            <w:color w:val="0000FF"/>
            <w:u w:val="single" w:color="0000FF"/>
          </w:rPr>
          <w:t xml:space="preserve"> </w:t>
        </w:r>
        <w:r>
          <w:rPr>
            <w:color w:val="0000FF"/>
            <w:spacing w:val="-1"/>
            <w:u w:val="single" w:color="0000FF"/>
          </w:rPr>
          <w:t>http://www.health.gov.au/internet/healthyactive/publishing.nsf/Content/your-bmi</w:t>
        </w:r>
      </w:hyperlink>
    </w:p>
    <w:p w14:paraId="07F7DF1C" w14:textId="77777777" w:rsidR="007A494D" w:rsidRDefault="007A494D" w:rsidP="007A494D">
      <w:pPr>
        <w:pStyle w:val="Heading2"/>
      </w:pPr>
    </w:p>
    <w:p w14:paraId="4B36D88A" w14:textId="77777777" w:rsidR="007A494D" w:rsidRPr="0002750F" w:rsidRDefault="007A494D" w:rsidP="007A494D">
      <w:pPr>
        <w:pStyle w:val="Heading2"/>
      </w:pPr>
      <w:bookmarkStart w:id="38" w:name="_Toc509388184"/>
      <w:r>
        <w:t xml:space="preserve">3.4 </w:t>
      </w:r>
      <w:r w:rsidRPr="0002750F">
        <w:t>Weight management</w:t>
      </w:r>
      <w:bookmarkEnd w:id="38"/>
    </w:p>
    <w:p w14:paraId="121DF5C9" w14:textId="77777777" w:rsidR="007A494D" w:rsidRDefault="007A494D" w:rsidP="007A494D">
      <w:r>
        <w:t xml:space="preserve">The majority of adults with Class 3 obesity should consult their General Practitioner (GP) about the clinical management of their weight. The NHMRC (2013) has developed </w:t>
      </w:r>
      <w:hyperlink r:id="rId14" w:history="1">
        <w:r w:rsidRPr="009B31A5">
          <w:rPr>
            <w:rStyle w:val="Hyperlink"/>
            <w:u w:color="0000FF"/>
          </w:rPr>
          <w:t>Clinical</w:t>
        </w:r>
        <w:r w:rsidRPr="0054703D">
          <w:rPr>
            <w:rStyle w:val="Hyperlink"/>
          </w:rPr>
          <w:t xml:space="preserve"> </w:t>
        </w:r>
        <w:r w:rsidRPr="009B31A5">
          <w:rPr>
            <w:rStyle w:val="Hyperlink"/>
            <w:u w:color="0000FF"/>
          </w:rPr>
          <w:t>Practice Guidelines for the Management of Overweight and Obesity for Adults, Adolescents</w:t>
        </w:r>
        <w:r w:rsidRPr="0054703D">
          <w:rPr>
            <w:rStyle w:val="Hyperlink"/>
          </w:rPr>
          <w:t xml:space="preserve"> </w:t>
        </w:r>
        <w:r w:rsidRPr="009B31A5">
          <w:rPr>
            <w:rStyle w:val="Hyperlink"/>
            <w:u w:color="0000FF"/>
          </w:rPr>
          <w:t>and Children in Australia</w:t>
        </w:r>
      </w:hyperlink>
      <w:r>
        <w:t>. These recommend a five part approach set out in Table 2 below. The five part approach is based on the 5As approach</w:t>
      </w:r>
      <w:r w:rsidRPr="009B31A5">
        <w:rPr>
          <w:vertAlign w:val="superscript"/>
        </w:rPr>
        <w:t>8</w:t>
      </w:r>
      <w:r>
        <w:t>.</w:t>
      </w:r>
    </w:p>
    <w:p w14:paraId="226AD6B8" w14:textId="77777777" w:rsidR="007A494D" w:rsidRDefault="007A494D" w:rsidP="007A494D">
      <w:pPr>
        <w:spacing w:after="200" w:line="276" w:lineRule="auto"/>
      </w:pPr>
    </w:p>
    <w:p w14:paraId="77BC1B3F" w14:textId="77777777" w:rsidR="007A494D" w:rsidRPr="00B03BF6" w:rsidRDefault="007A494D" w:rsidP="007A494D">
      <w:pPr>
        <w:spacing w:after="200" w:line="276" w:lineRule="auto"/>
        <w:rPr>
          <w:rFonts w:cs="Arial"/>
          <w:szCs w:val="24"/>
        </w:rPr>
      </w:pPr>
      <w:r w:rsidRPr="00B03BF6">
        <w:t xml:space="preserve">Table </w:t>
      </w:r>
      <w:r>
        <w:t>2</w:t>
      </w:r>
      <w:r w:rsidRPr="00B03BF6">
        <w:t>: Recommendations for weight management in adults.</w:t>
      </w:r>
    </w:p>
    <w:tbl>
      <w:tblPr>
        <w:tblW w:w="8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2126"/>
        <w:gridCol w:w="1910"/>
        <w:gridCol w:w="4154"/>
      </w:tblGrid>
      <w:tr w:rsidR="007A494D" w14:paraId="1590264B" w14:textId="77777777" w:rsidTr="0081235F">
        <w:trPr>
          <w:trHeight w:val="592"/>
        </w:trPr>
        <w:tc>
          <w:tcPr>
            <w:tcW w:w="567" w:type="dxa"/>
            <w:tcBorders>
              <w:top w:val="nil"/>
              <w:left w:val="nil"/>
              <w:bottom w:val="nil"/>
              <w:right w:val="nil"/>
            </w:tcBorders>
            <w:shd w:val="clear" w:color="auto" w:fill="auto"/>
          </w:tcPr>
          <w:p w14:paraId="066E27E4" w14:textId="77777777" w:rsidR="007A494D" w:rsidRDefault="007A494D" w:rsidP="0081235F">
            <w:pPr>
              <w:pStyle w:val="TableParagraph"/>
              <w:spacing w:line="292" w:lineRule="exact"/>
              <w:ind w:left="314"/>
              <w:rPr>
                <w:b/>
                <w:color w:val="FFFFFF"/>
                <w:sz w:val="24"/>
              </w:rPr>
            </w:pPr>
          </w:p>
          <w:p w14:paraId="4AFD0DCD" w14:textId="77777777" w:rsidR="007A494D" w:rsidRPr="00C72E39" w:rsidRDefault="007A494D" w:rsidP="0081235F">
            <w:pPr>
              <w:rPr>
                <w:lang w:val="en-US"/>
              </w:rPr>
            </w:pPr>
          </w:p>
        </w:tc>
        <w:tc>
          <w:tcPr>
            <w:tcW w:w="8190" w:type="dxa"/>
            <w:gridSpan w:val="3"/>
            <w:tcBorders>
              <w:top w:val="nil"/>
              <w:left w:val="nil"/>
              <w:bottom w:val="nil"/>
              <w:right w:val="nil"/>
            </w:tcBorders>
            <w:shd w:val="clear" w:color="auto" w:fill="000000"/>
          </w:tcPr>
          <w:p w14:paraId="69073F3F" w14:textId="77777777" w:rsidR="007A494D" w:rsidRDefault="007A494D" w:rsidP="0081235F">
            <w:pPr>
              <w:pStyle w:val="TableParagraph"/>
              <w:spacing w:line="292" w:lineRule="exact"/>
              <w:ind w:left="314"/>
              <w:rPr>
                <w:b/>
                <w:sz w:val="24"/>
              </w:rPr>
            </w:pPr>
            <w:r>
              <w:rPr>
                <w:b/>
                <w:color w:val="FFFFFF"/>
                <w:sz w:val="24"/>
              </w:rPr>
              <w:t>Establish a therapeutic relationship, communicate and provide care in a way</w:t>
            </w:r>
          </w:p>
          <w:p w14:paraId="5612428E" w14:textId="77777777" w:rsidR="007A494D" w:rsidRDefault="007A494D" w:rsidP="0081235F">
            <w:pPr>
              <w:pStyle w:val="TableParagraph"/>
              <w:spacing w:line="280" w:lineRule="exact"/>
              <w:ind w:left="242"/>
              <w:rPr>
                <w:b/>
                <w:sz w:val="24"/>
              </w:rPr>
            </w:pPr>
            <w:r>
              <w:rPr>
                <w:b/>
                <w:color w:val="FFFFFF"/>
                <w:sz w:val="24"/>
              </w:rPr>
              <w:t>that is person-centred, culturally sensitive , nondirective and nonjudgemental</w:t>
            </w:r>
          </w:p>
        </w:tc>
      </w:tr>
      <w:tr w:rsidR="007A494D" w14:paraId="6C7B5A21" w14:textId="77777777" w:rsidTr="0081235F">
        <w:trPr>
          <w:trHeight w:val="321"/>
        </w:trPr>
        <w:tc>
          <w:tcPr>
            <w:tcW w:w="567" w:type="dxa"/>
            <w:tcBorders>
              <w:top w:val="nil"/>
              <w:left w:val="nil"/>
              <w:bottom w:val="nil"/>
              <w:right w:val="nil"/>
            </w:tcBorders>
            <w:shd w:val="clear" w:color="auto" w:fill="auto"/>
          </w:tcPr>
          <w:p w14:paraId="5619C384" w14:textId="77777777" w:rsidR="007A494D" w:rsidRDefault="007A494D" w:rsidP="0081235F">
            <w:pPr>
              <w:pStyle w:val="TableParagraph"/>
              <w:spacing w:before="25"/>
              <w:ind w:left="1218"/>
              <w:rPr>
                <w:b/>
                <w:color w:val="FFFFFF"/>
              </w:rPr>
            </w:pPr>
          </w:p>
        </w:tc>
        <w:tc>
          <w:tcPr>
            <w:tcW w:w="8190" w:type="dxa"/>
            <w:gridSpan w:val="3"/>
            <w:tcBorders>
              <w:left w:val="nil"/>
            </w:tcBorders>
            <w:shd w:val="clear" w:color="auto" w:fill="355E91"/>
          </w:tcPr>
          <w:p w14:paraId="356E889A" w14:textId="77777777" w:rsidR="007A494D" w:rsidRDefault="007A494D" w:rsidP="0081235F">
            <w:pPr>
              <w:pStyle w:val="TableParagraph"/>
              <w:spacing w:before="25"/>
              <w:ind w:left="1218"/>
              <w:rPr>
                <w:b/>
              </w:rPr>
            </w:pPr>
            <w:r>
              <w:rPr>
                <w:b/>
                <w:color w:val="FFFFFF"/>
              </w:rPr>
              <w:t>Use the body mass index(BMI) to classify overweight or obesity</w:t>
            </w:r>
          </w:p>
        </w:tc>
      </w:tr>
      <w:tr w:rsidR="007A494D" w14:paraId="1D58E467" w14:textId="77777777" w:rsidTr="0081235F">
        <w:trPr>
          <w:trHeight w:val="294"/>
        </w:trPr>
        <w:tc>
          <w:tcPr>
            <w:tcW w:w="567" w:type="dxa"/>
            <w:tcBorders>
              <w:top w:val="nil"/>
              <w:left w:val="nil"/>
              <w:bottom w:val="nil"/>
              <w:right w:val="nil"/>
            </w:tcBorders>
            <w:shd w:val="clear" w:color="auto" w:fill="auto"/>
          </w:tcPr>
          <w:p w14:paraId="533D8A31" w14:textId="77777777" w:rsidR="007A494D" w:rsidRDefault="007A494D" w:rsidP="0081235F">
            <w:pPr>
              <w:pStyle w:val="TableParagraph"/>
              <w:spacing w:line="268" w:lineRule="exact"/>
              <w:ind w:left="726"/>
              <w:rPr>
                <w:b/>
              </w:rPr>
            </w:pPr>
          </w:p>
        </w:tc>
        <w:tc>
          <w:tcPr>
            <w:tcW w:w="2126" w:type="dxa"/>
            <w:tcBorders>
              <w:left w:val="nil"/>
            </w:tcBorders>
            <w:shd w:val="clear" w:color="auto" w:fill="B8CCE4"/>
          </w:tcPr>
          <w:p w14:paraId="7AEB4A58" w14:textId="77777777" w:rsidR="007A494D" w:rsidRDefault="007A494D" w:rsidP="0081235F">
            <w:pPr>
              <w:pStyle w:val="TableParagraph"/>
              <w:spacing w:line="268" w:lineRule="exact"/>
              <w:ind w:left="726"/>
              <w:rPr>
                <w:b/>
              </w:rPr>
            </w:pPr>
            <w:r>
              <w:rPr>
                <w:b/>
              </w:rPr>
              <w:t>BMI&lt;25</w:t>
            </w:r>
          </w:p>
        </w:tc>
        <w:tc>
          <w:tcPr>
            <w:tcW w:w="1910" w:type="dxa"/>
            <w:shd w:val="clear" w:color="auto" w:fill="B8CCE4"/>
          </w:tcPr>
          <w:p w14:paraId="2F901C4A" w14:textId="77777777" w:rsidR="007A494D" w:rsidRDefault="007A494D" w:rsidP="0081235F">
            <w:pPr>
              <w:pStyle w:val="TableParagraph"/>
              <w:spacing w:line="268" w:lineRule="exact"/>
              <w:ind w:left="357"/>
              <w:rPr>
                <w:b/>
              </w:rPr>
            </w:pPr>
            <w:r>
              <w:rPr>
                <w:b/>
              </w:rPr>
              <w:t>BMI25.0-29.9</w:t>
            </w:r>
          </w:p>
        </w:tc>
        <w:tc>
          <w:tcPr>
            <w:tcW w:w="4154" w:type="dxa"/>
            <w:shd w:val="clear" w:color="auto" w:fill="95B3D7"/>
          </w:tcPr>
          <w:p w14:paraId="469A0259" w14:textId="77777777" w:rsidR="007A494D" w:rsidRDefault="007A494D" w:rsidP="0081235F">
            <w:pPr>
              <w:pStyle w:val="TableParagraph"/>
              <w:tabs>
                <w:tab w:val="left" w:pos="1524"/>
                <w:tab w:val="left" w:pos="3051"/>
              </w:tabs>
              <w:spacing w:line="268" w:lineRule="exact"/>
              <w:ind w:left="46"/>
              <w:jc w:val="center"/>
              <w:rPr>
                <w:b/>
              </w:rPr>
            </w:pPr>
            <w:r>
              <w:rPr>
                <w:b/>
              </w:rPr>
              <w:t>BMI</w:t>
            </w:r>
            <w:r>
              <w:rPr>
                <w:b/>
                <w:spacing w:val="-3"/>
              </w:rPr>
              <w:t xml:space="preserve"> </w:t>
            </w:r>
            <w:r>
              <w:rPr>
                <w:b/>
              </w:rPr>
              <w:t>30.0-34.9</w:t>
            </w:r>
            <w:r>
              <w:rPr>
                <w:b/>
              </w:rPr>
              <w:tab/>
              <w:t>BMI</w:t>
            </w:r>
            <w:r>
              <w:rPr>
                <w:b/>
                <w:spacing w:val="-1"/>
              </w:rPr>
              <w:t xml:space="preserve"> </w:t>
            </w:r>
            <w:r>
              <w:rPr>
                <w:b/>
              </w:rPr>
              <w:t>35.0-39.9</w:t>
            </w:r>
            <w:r>
              <w:rPr>
                <w:b/>
              </w:rPr>
              <w:tab/>
              <w:t>BMI ≥</w:t>
            </w:r>
            <w:r>
              <w:rPr>
                <w:b/>
                <w:spacing w:val="-3"/>
              </w:rPr>
              <w:t xml:space="preserve"> </w:t>
            </w:r>
            <w:r>
              <w:rPr>
                <w:b/>
              </w:rPr>
              <w:t>40</w:t>
            </w:r>
          </w:p>
        </w:tc>
      </w:tr>
      <w:tr w:rsidR="007A494D" w14:paraId="59426948" w14:textId="77777777" w:rsidTr="0081235F">
        <w:trPr>
          <w:trHeight w:val="292"/>
        </w:trPr>
        <w:tc>
          <w:tcPr>
            <w:tcW w:w="567" w:type="dxa"/>
            <w:tcBorders>
              <w:top w:val="nil"/>
              <w:left w:val="nil"/>
              <w:bottom w:val="nil"/>
              <w:right w:val="nil"/>
            </w:tcBorders>
            <w:shd w:val="clear" w:color="auto" w:fill="auto"/>
          </w:tcPr>
          <w:p w14:paraId="763F159C" w14:textId="77777777" w:rsidR="007A494D" w:rsidRDefault="007A494D" w:rsidP="0081235F">
            <w:pPr>
              <w:pStyle w:val="TableParagraph"/>
              <w:spacing w:line="272" w:lineRule="exact"/>
              <w:ind w:left="1187"/>
              <w:rPr>
                <w:b/>
                <w:sz w:val="24"/>
              </w:rPr>
            </w:pPr>
          </w:p>
        </w:tc>
        <w:tc>
          <w:tcPr>
            <w:tcW w:w="4036" w:type="dxa"/>
            <w:gridSpan w:val="2"/>
            <w:tcBorders>
              <w:left w:val="nil"/>
              <w:bottom w:val="single" w:sz="4" w:space="0" w:color="000000"/>
            </w:tcBorders>
            <w:shd w:val="clear" w:color="auto" w:fill="B8CCE4"/>
          </w:tcPr>
          <w:p w14:paraId="6D2D0BD6" w14:textId="77777777" w:rsidR="007A494D" w:rsidRDefault="007A494D" w:rsidP="0081235F">
            <w:pPr>
              <w:pStyle w:val="TableParagraph"/>
              <w:spacing w:line="272" w:lineRule="exact"/>
              <w:ind w:left="1187"/>
              <w:rPr>
                <w:b/>
                <w:sz w:val="24"/>
              </w:rPr>
            </w:pPr>
            <w:r>
              <w:rPr>
                <w:b/>
                <w:sz w:val="24"/>
              </w:rPr>
              <w:t>STANDARD CARE</w:t>
            </w:r>
          </w:p>
        </w:tc>
        <w:tc>
          <w:tcPr>
            <w:tcW w:w="4154" w:type="dxa"/>
            <w:shd w:val="clear" w:color="auto" w:fill="95B3D7"/>
          </w:tcPr>
          <w:p w14:paraId="742C0ED8" w14:textId="77777777" w:rsidR="007A494D" w:rsidRDefault="007A494D" w:rsidP="0081235F">
            <w:pPr>
              <w:pStyle w:val="TableParagraph"/>
              <w:spacing w:line="272" w:lineRule="exact"/>
              <w:ind w:left="46"/>
              <w:jc w:val="center"/>
              <w:rPr>
                <w:b/>
                <w:sz w:val="24"/>
              </w:rPr>
            </w:pPr>
            <w:r>
              <w:rPr>
                <w:b/>
                <w:sz w:val="24"/>
              </w:rPr>
              <w:t>ACTIVE MANAGEMENT</w:t>
            </w:r>
          </w:p>
        </w:tc>
      </w:tr>
      <w:tr w:rsidR="007A494D" w14:paraId="5716EA32" w14:textId="77777777" w:rsidTr="0081235F">
        <w:trPr>
          <w:cantSplit/>
          <w:trHeight w:val="1813"/>
        </w:trPr>
        <w:tc>
          <w:tcPr>
            <w:tcW w:w="567" w:type="dxa"/>
            <w:tcBorders>
              <w:top w:val="nil"/>
              <w:left w:val="nil"/>
              <w:bottom w:val="nil"/>
              <w:right w:val="single" w:sz="24" w:space="0" w:color="FFFFFF" w:themeColor="background1"/>
            </w:tcBorders>
            <w:shd w:val="clear" w:color="auto" w:fill="365F91" w:themeFill="accent1" w:themeFillShade="BF"/>
            <w:textDirection w:val="btLr"/>
            <w:vAlign w:val="center"/>
          </w:tcPr>
          <w:p w14:paraId="63CDCFE3" w14:textId="77777777" w:rsidR="007A494D" w:rsidRPr="00C72E39" w:rsidRDefault="007A494D" w:rsidP="0081235F">
            <w:pPr>
              <w:pStyle w:val="TableParagraph"/>
              <w:ind w:left="109" w:right="291"/>
              <w:jc w:val="center"/>
              <w:rPr>
                <w:rFonts w:asciiTheme="minorHAnsi" w:hAnsiTheme="minorHAnsi"/>
                <w:b/>
                <w:color w:val="FFFFFF" w:themeColor="background1"/>
                <w:sz w:val="24"/>
              </w:rPr>
            </w:pPr>
            <w:r w:rsidRPr="00C72E39">
              <w:rPr>
                <w:rFonts w:asciiTheme="minorHAnsi" w:hAnsiTheme="minorHAnsi"/>
                <w:b/>
                <w:color w:val="FFFFFF" w:themeColor="background1"/>
                <w:sz w:val="24"/>
              </w:rPr>
              <w:t>Ask and Asses</w:t>
            </w:r>
          </w:p>
        </w:tc>
        <w:tc>
          <w:tcPr>
            <w:tcW w:w="2126" w:type="dxa"/>
            <w:tcBorders>
              <w:left w:val="single" w:sz="24" w:space="0" w:color="FFFFFF" w:themeColor="background1"/>
            </w:tcBorders>
            <w:shd w:val="clear" w:color="auto" w:fill="4E81BD"/>
          </w:tcPr>
          <w:p w14:paraId="69AD2469" w14:textId="77777777" w:rsidR="007A494D" w:rsidRDefault="007A494D" w:rsidP="0081235F">
            <w:pPr>
              <w:pStyle w:val="TableParagraph"/>
              <w:ind w:left="109" w:right="291"/>
              <w:rPr>
                <w:sz w:val="20"/>
              </w:rPr>
            </w:pPr>
            <w:r>
              <w:rPr>
                <w:color w:val="FFFFFF"/>
                <w:sz w:val="20"/>
              </w:rPr>
              <w:t>Routinely assess and monitor BMI</w:t>
            </w:r>
          </w:p>
        </w:tc>
        <w:tc>
          <w:tcPr>
            <w:tcW w:w="1910" w:type="dxa"/>
            <w:shd w:val="clear" w:color="auto" w:fill="4E81BD"/>
          </w:tcPr>
          <w:p w14:paraId="325AAE08" w14:textId="77777777" w:rsidR="007A494D" w:rsidRDefault="007A494D" w:rsidP="0081235F">
            <w:pPr>
              <w:pStyle w:val="TableParagraph"/>
              <w:ind w:left="124" w:right="78"/>
              <w:rPr>
                <w:sz w:val="20"/>
              </w:rPr>
            </w:pPr>
            <w:r>
              <w:rPr>
                <w:color w:val="FFFFFF"/>
                <w:sz w:val="20"/>
              </w:rPr>
              <w:t>Routinely assess and monitor BMI</w:t>
            </w:r>
          </w:p>
          <w:p w14:paraId="5BD3333C" w14:textId="77777777" w:rsidR="007A494D" w:rsidRDefault="007A494D" w:rsidP="0081235F">
            <w:pPr>
              <w:pStyle w:val="TableParagraph"/>
              <w:ind w:left="124" w:right="465"/>
              <w:rPr>
                <w:sz w:val="20"/>
              </w:rPr>
            </w:pPr>
            <w:r>
              <w:rPr>
                <w:color w:val="FFFFFF"/>
                <w:sz w:val="20"/>
              </w:rPr>
              <w:t>Discuss if BMI is increasing</w:t>
            </w:r>
          </w:p>
          <w:p w14:paraId="506165D4" w14:textId="77777777" w:rsidR="007A494D" w:rsidRDefault="007A494D" w:rsidP="0081235F">
            <w:pPr>
              <w:pStyle w:val="TableParagraph"/>
              <w:ind w:left="124" w:right="159"/>
              <w:rPr>
                <w:sz w:val="20"/>
              </w:rPr>
            </w:pPr>
            <w:r>
              <w:rPr>
                <w:color w:val="FFFFFF"/>
                <w:sz w:val="20"/>
              </w:rPr>
              <w:t>Screen and manage comorbidities</w:t>
            </w:r>
          </w:p>
        </w:tc>
        <w:tc>
          <w:tcPr>
            <w:tcW w:w="4154" w:type="dxa"/>
            <w:shd w:val="clear" w:color="auto" w:fill="4E81BD"/>
          </w:tcPr>
          <w:p w14:paraId="438C5879" w14:textId="77777777" w:rsidR="007A494D" w:rsidRDefault="007A494D" w:rsidP="0081235F">
            <w:pPr>
              <w:pStyle w:val="TableParagraph"/>
              <w:spacing w:line="243" w:lineRule="exact"/>
              <w:ind w:left="125"/>
              <w:rPr>
                <w:b/>
                <w:sz w:val="20"/>
              </w:rPr>
            </w:pPr>
            <w:r>
              <w:rPr>
                <w:b/>
                <w:color w:val="FFFFFF"/>
                <w:sz w:val="20"/>
              </w:rPr>
              <w:t>Routinely assess and monitor BMI</w:t>
            </w:r>
          </w:p>
          <w:p w14:paraId="7A2AE75B" w14:textId="77777777" w:rsidR="007A494D" w:rsidRDefault="007A494D" w:rsidP="0081235F">
            <w:pPr>
              <w:pStyle w:val="TableParagraph"/>
              <w:spacing w:line="243" w:lineRule="exact"/>
              <w:ind w:left="125"/>
              <w:rPr>
                <w:sz w:val="20"/>
              </w:rPr>
            </w:pPr>
            <w:r>
              <w:rPr>
                <w:color w:val="FFFFFF"/>
                <w:sz w:val="20"/>
              </w:rPr>
              <w:t>Discuss Health Issues</w:t>
            </w:r>
          </w:p>
          <w:p w14:paraId="5AFA803F" w14:textId="77777777" w:rsidR="007A494D" w:rsidRDefault="007A494D" w:rsidP="0081235F">
            <w:pPr>
              <w:pStyle w:val="TableParagraph"/>
              <w:ind w:left="125" w:right="652"/>
              <w:rPr>
                <w:sz w:val="20"/>
              </w:rPr>
            </w:pPr>
            <w:r>
              <w:rPr>
                <w:color w:val="FFFFFF"/>
                <w:sz w:val="20"/>
              </w:rPr>
              <w:t>Screen and manage co-morbidities Assess other factors related to health</w:t>
            </w:r>
            <w:r>
              <w:rPr>
                <w:color w:val="FFFFFF"/>
                <w:spacing w:val="-19"/>
                <w:sz w:val="20"/>
              </w:rPr>
              <w:t xml:space="preserve"> </w:t>
            </w:r>
            <w:r>
              <w:rPr>
                <w:color w:val="FFFFFF"/>
                <w:sz w:val="20"/>
              </w:rPr>
              <w:t>risk</w:t>
            </w:r>
          </w:p>
        </w:tc>
      </w:tr>
      <w:tr w:rsidR="007A494D" w14:paraId="6780367D" w14:textId="77777777" w:rsidTr="0081235F">
        <w:trPr>
          <w:cantSplit/>
          <w:trHeight w:val="1710"/>
        </w:trPr>
        <w:tc>
          <w:tcPr>
            <w:tcW w:w="567" w:type="dxa"/>
            <w:tcBorders>
              <w:top w:val="nil"/>
              <w:left w:val="nil"/>
              <w:bottom w:val="nil"/>
              <w:right w:val="single" w:sz="24" w:space="0" w:color="FFFFFF" w:themeColor="background1"/>
            </w:tcBorders>
            <w:shd w:val="clear" w:color="auto" w:fill="365F91" w:themeFill="accent1" w:themeFillShade="BF"/>
            <w:textDirection w:val="btLr"/>
            <w:vAlign w:val="center"/>
          </w:tcPr>
          <w:p w14:paraId="25235CED" w14:textId="77777777" w:rsidR="007A494D" w:rsidRPr="00C72E39" w:rsidRDefault="007A494D" w:rsidP="0081235F">
            <w:pPr>
              <w:pStyle w:val="TableParagraph"/>
              <w:ind w:left="109" w:right="340"/>
              <w:jc w:val="center"/>
              <w:rPr>
                <w:rFonts w:asciiTheme="minorHAnsi" w:hAnsiTheme="minorHAnsi"/>
                <w:b/>
                <w:color w:val="FFFFFF" w:themeColor="background1"/>
                <w:sz w:val="24"/>
              </w:rPr>
            </w:pPr>
            <w:r w:rsidRPr="00C72E39">
              <w:rPr>
                <w:rFonts w:asciiTheme="minorHAnsi" w:hAnsiTheme="minorHAnsi"/>
                <w:b/>
                <w:color w:val="FFFFFF" w:themeColor="background1"/>
                <w:sz w:val="24"/>
              </w:rPr>
              <w:t>ADVISE</w:t>
            </w:r>
          </w:p>
        </w:tc>
        <w:tc>
          <w:tcPr>
            <w:tcW w:w="2126" w:type="dxa"/>
            <w:tcBorders>
              <w:left w:val="single" w:sz="24" w:space="0" w:color="FFFFFF" w:themeColor="background1"/>
            </w:tcBorders>
            <w:shd w:val="clear" w:color="auto" w:fill="355E91"/>
          </w:tcPr>
          <w:p w14:paraId="58B0C4FD" w14:textId="77777777" w:rsidR="007A494D" w:rsidRDefault="007A494D" w:rsidP="0081235F">
            <w:pPr>
              <w:pStyle w:val="TableParagraph"/>
              <w:spacing w:before="1"/>
              <w:ind w:left="109" w:right="340"/>
              <w:rPr>
                <w:sz w:val="20"/>
              </w:rPr>
            </w:pPr>
            <w:r>
              <w:rPr>
                <w:color w:val="FFFFFF"/>
                <w:sz w:val="20"/>
              </w:rPr>
              <w:t>Promote benefits of healthy lifestyle</w:t>
            </w:r>
          </w:p>
        </w:tc>
        <w:tc>
          <w:tcPr>
            <w:tcW w:w="1910" w:type="dxa"/>
            <w:shd w:val="clear" w:color="auto" w:fill="355E91"/>
          </w:tcPr>
          <w:p w14:paraId="10821666" w14:textId="77777777" w:rsidR="007A494D" w:rsidRDefault="007A494D" w:rsidP="0081235F">
            <w:pPr>
              <w:pStyle w:val="TableParagraph"/>
              <w:spacing w:before="1"/>
              <w:ind w:left="124" w:right="127"/>
              <w:rPr>
                <w:sz w:val="20"/>
              </w:rPr>
            </w:pPr>
            <w:r>
              <w:rPr>
                <w:color w:val="FFFFFF"/>
                <w:sz w:val="20"/>
              </w:rPr>
              <w:t>Promote benefits of healthy lifestyle, including reduced energy intake , increased physical activity and</w:t>
            </w:r>
          </w:p>
          <w:p w14:paraId="69A1FD86" w14:textId="77777777" w:rsidR="007A494D" w:rsidRDefault="007A494D" w:rsidP="0081235F">
            <w:pPr>
              <w:pStyle w:val="TableParagraph"/>
              <w:spacing w:line="225" w:lineRule="exact"/>
              <w:ind w:left="124"/>
              <w:rPr>
                <w:sz w:val="20"/>
              </w:rPr>
            </w:pPr>
            <w:r>
              <w:rPr>
                <w:color w:val="FFFFFF"/>
                <w:sz w:val="20"/>
              </w:rPr>
              <w:t>behavioural change</w:t>
            </w:r>
          </w:p>
        </w:tc>
        <w:tc>
          <w:tcPr>
            <w:tcW w:w="4154" w:type="dxa"/>
            <w:shd w:val="clear" w:color="auto" w:fill="355E91"/>
          </w:tcPr>
          <w:p w14:paraId="0687FFE9" w14:textId="77777777" w:rsidR="007A494D" w:rsidRDefault="007A494D" w:rsidP="0081235F">
            <w:pPr>
              <w:pStyle w:val="TableParagraph"/>
              <w:spacing w:before="1"/>
              <w:ind w:left="125" w:right="205"/>
              <w:rPr>
                <w:sz w:val="20"/>
              </w:rPr>
            </w:pPr>
            <w:r>
              <w:rPr>
                <w:color w:val="FFFFFF"/>
                <w:sz w:val="20"/>
              </w:rPr>
              <w:t>Promote benefits of healthy lifestyle, including reduced energy intake, increased physical activity and behavioural change.</w:t>
            </w:r>
          </w:p>
          <w:p w14:paraId="2A713549" w14:textId="77777777" w:rsidR="007A494D" w:rsidRDefault="007A494D" w:rsidP="0081235F">
            <w:pPr>
              <w:pStyle w:val="TableParagraph"/>
              <w:spacing w:before="10"/>
              <w:ind w:left="0"/>
              <w:rPr>
                <w:b/>
                <w:i/>
                <w:sz w:val="19"/>
              </w:rPr>
            </w:pPr>
          </w:p>
          <w:p w14:paraId="5415E85E" w14:textId="77777777" w:rsidR="007A494D" w:rsidRDefault="007A494D" w:rsidP="0081235F">
            <w:pPr>
              <w:pStyle w:val="TableParagraph"/>
              <w:ind w:left="125"/>
              <w:rPr>
                <w:b/>
                <w:sz w:val="20"/>
              </w:rPr>
            </w:pPr>
            <w:r>
              <w:rPr>
                <w:b/>
                <w:color w:val="FFFFFF"/>
                <w:sz w:val="20"/>
              </w:rPr>
              <w:t>Explain benefits of weight management</w:t>
            </w:r>
          </w:p>
        </w:tc>
      </w:tr>
      <w:tr w:rsidR="007A494D" w14:paraId="67A15E73" w14:textId="77777777" w:rsidTr="0081235F">
        <w:trPr>
          <w:cantSplit/>
          <w:trHeight w:val="1494"/>
        </w:trPr>
        <w:tc>
          <w:tcPr>
            <w:tcW w:w="567" w:type="dxa"/>
            <w:tcBorders>
              <w:top w:val="nil"/>
              <w:left w:val="nil"/>
              <w:bottom w:val="nil"/>
              <w:right w:val="single" w:sz="24" w:space="0" w:color="FFFFFF" w:themeColor="background1"/>
            </w:tcBorders>
            <w:shd w:val="clear" w:color="auto" w:fill="365F91" w:themeFill="accent1" w:themeFillShade="BF"/>
            <w:textDirection w:val="btLr"/>
            <w:vAlign w:val="center"/>
          </w:tcPr>
          <w:p w14:paraId="3CB7392B" w14:textId="77777777" w:rsidR="007A494D" w:rsidRPr="00C72E39" w:rsidRDefault="007A494D" w:rsidP="0081235F">
            <w:pPr>
              <w:pStyle w:val="TableParagraph"/>
              <w:ind w:left="113" w:right="113"/>
              <w:jc w:val="center"/>
              <w:rPr>
                <w:rFonts w:asciiTheme="minorHAnsi" w:hAnsiTheme="minorHAnsi"/>
                <w:b/>
                <w:color w:val="FFFFFF" w:themeColor="background1"/>
                <w:sz w:val="24"/>
              </w:rPr>
            </w:pPr>
            <w:r w:rsidRPr="00C72E39">
              <w:rPr>
                <w:rFonts w:asciiTheme="minorHAnsi" w:hAnsiTheme="minorHAnsi"/>
                <w:b/>
                <w:color w:val="FFFFFF" w:themeColor="background1"/>
                <w:sz w:val="24"/>
              </w:rPr>
              <w:t>ASSIST</w:t>
            </w:r>
          </w:p>
        </w:tc>
        <w:tc>
          <w:tcPr>
            <w:tcW w:w="2126" w:type="dxa"/>
            <w:tcBorders>
              <w:left w:val="single" w:sz="24" w:space="0" w:color="FFFFFF" w:themeColor="background1"/>
            </w:tcBorders>
            <w:shd w:val="clear" w:color="auto" w:fill="4E81BD"/>
          </w:tcPr>
          <w:p w14:paraId="5C1905B4" w14:textId="77777777" w:rsidR="007A494D" w:rsidRDefault="007A494D" w:rsidP="0081235F">
            <w:pPr>
              <w:pStyle w:val="TableParagraph"/>
              <w:ind w:left="0"/>
              <w:rPr>
                <w:rFonts w:ascii="Times New Roman"/>
                <w:sz w:val="20"/>
              </w:rPr>
            </w:pPr>
          </w:p>
        </w:tc>
        <w:tc>
          <w:tcPr>
            <w:tcW w:w="1910" w:type="dxa"/>
            <w:shd w:val="clear" w:color="auto" w:fill="4E81BD"/>
          </w:tcPr>
          <w:p w14:paraId="46FCB77C" w14:textId="77777777" w:rsidR="007A494D" w:rsidRDefault="007A494D" w:rsidP="0081235F">
            <w:pPr>
              <w:pStyle w:val="TableParagraph"/>
              <w:ind w:left="124" w:right="194"/>
              <w:jc w:val="both"/>
              <w:rPr>
                <w:sz w:val="20"/>
              </w:rPr>
            </w:pPr>
            <w:r>
              <w:rPr>
                <w:color w:val="FFFFFF"/>
                <w:sz w:val="20"/>
              </w:rPr>
              <w:t>Assist in identifying local programs that may be of benefit</w:t>
            </w:r>
          </w:p>
        </w:tc>
        <w:tc>
          <w:tcPr>
            <w:tcW w:w="4154" w:type="dxa"/>
            <w:shd w:val="clear" w:color="auto" w:fill="4E81BD"/>
          </w:tcPr>
          <w:p w14:paraId="6817FBDE" w14:textId="77777777" w:rsidR="007A494D" w:rsidRDefault="007A494D" w:rsidP="0081235F">
            <w:pPr>
              <w:pStyle w:val="TableParagraph"/>
              <w:spacing w:line="243" w:lineRule="exact"/>
              <w:ind w:left="125"/>
              <w:rPr>
                <w:b/>
                <w:sz w:val="20"/>
              </w:rPr>
            </w:pPr>
            <w:r>
              <w:rPr>
                <w:b/>
                <w:color w:val="FFFFFF"/>
                <w:sz w:val="20"/>
              </w:rPr>
              <w:t>Assist in setting up a weight loss program</w:t>
            </w:r>
          </w:p>
          <w:p w14:paraId="7B265C18" w14:textId="77777777" w:rsidR="007A494D" w:rsidRDefault="007A494D" w:rsidP="0081235F">
            <w:pPr>
              <w:pStyle w:val="TableParagraph"/>
              <w:numPr>
                <w:ilvl w:val="0"/>
                <w:numId w:val="31"/>
              </w:numPr>
              <w:tabs>
                <w:tab w:val="left" w:pos="443"/>
              </w:tabs>
              <w:rPr>
                <w:sz w:val="20"/>
              </w:rPr>
            </w:pPr>
            <w:r>
              <w:rPr>
                <w:color w:val="FFFFFF"/>
                <w:sz w:val="20"/>
              </w:rPr>
              <w:t>Advise lifestyle</w:t>
            </w:r>
            <w:r>
              <w:rPr>
                <w:color w:val="FFFFFF"/>
                <w:spacing w:val="-3"/>
                <w:sz w:val="20"/>
              </w:rPr>
              <w:t xml:space="preserve"> </w:t>
            </w:r>
            <w:r>
              <w:rPr>
                <w:color w:val="FFFFFF"/>
                <w:sz w:val="20"/>
              </w:rPr>
              <w:t>interventions</w:t>
            </w:r>
          </w:p>
          <w:p w14:paraId="09A80CDE" w14:textId="77777777" w:rsidR="007A494D" w:rsidRDefault="007A494D" w:rsidP="0081235F">
            <w:pPr>
              <w:pStyle w:val="TableParagraph"/>
              <w:numPr>
                <w:ilvl w:val="0"/>
                <w:numId w:val="31"/>
              </w:numPr>
              <w:tabs>
                <w:tab w:val="left" w:pos="443"/>
              </w:tabs>
              <w:spacing w:before="2"/>
              <w:ind w:right="373"/>
              <w:rPr>
                <w:sz w:val="20"/>
              </w:rPr>
            </w:pPr>
            <w:r>
              <w:rPr>
                <w:color w:val="FFFFFF"/>
                <w:sz w:val="20"/>
              </w:rPr>
              <w:t>Based on comorbidities, risk factors and weight history, consider adding</w:t>
            </w:r>
            <w:r>
              <w:rPr>
                <w:color w:val="FFFFFF"/>
                <w:spacing w:val="-23"/>
                <w:sz w:val="20"/>
              </w:rPr>
              <w:t xml:space="preserve"> </w:t>
            </w:r>
            <w:r>
              <w:rPr>
                <w:color w:val="FFFFFF"/>
                <w:sz w:val="20"/>
              </w:rPr>
              <w:t>intensive weight loss interventions</w:t>
            </w:r>
            <w:r>
              <w:rPr>
                <w:color w:val="FFFFFF"/>
                <w:spacing w:val="-4"/>
                <w:sz w:val="20"/>
              </w:rPr>
              <w:t xml:space="preserve"> </w:t>
            </w:r>
            <w:r>
              <w:rPr>
                <w:color w:val="FFFFFF"/>
                <w:sz w:val="20"/>
              </w:rPr>
              <w:t>*</w:t>
            </w:r>
          </w:p>
          <w:p w14:paraId="0F0255C7" w14:textId="77777777" w:rsidR="007A494D" w:rsidRDefault="007A494D" w:rsidP="0081235F">
            <w:pPr>
              <w:pStyle w:val="TableParagraph"/>
              <w:numPr>
                <w:ilvl w:val="0"/>
                <w:numId w:val="31"/>
              </w:numPr>
              <w:tabs>
                <w:tab w:val="left" w:pos="443"/>
              </w:tabs>
              <w:spacing w:line="232" w:lineRule="exact"/>
              <w:rPr>
                <w:sz w:val="20"/>
              </w:rPr>
            </w:pPr>
            <w:r>
              <w:rPr>
                <w:color w:val="FFFFFF"/>
                <w:sz w:val="20"/>
              </w:rPr>
              <w:t>Tailor the approach to the</w:t>
            </w:r>
            <w:r>
              <w:rPr>
                <w:color w:val="FFFFFF"/>
                <w:spacing w:val="-7"/>
                <w:sz w:val="20"/>
              </w:rPr>
              <w:t xml:space="preserve"> </w:t>
            </w:r>
            <w:r>
              <w:rPr>
                <w:color w:val="FFFFFF"/>
                <w:sz w:val="20"/>
              </w:rPr>
              <w:t>individual</w:t>
            </w:r>
          </w:p>
        </w:tc>
      </w:tr>
      <w:tr w:rsidR="007A494D" w14:paraId="3CBE64CD" w14:textId="77777777" w:rsidTr="0081235F">
        <w:trPr>
          <w:cantSplit/>
          <w:trHeight w:val="1432"/>
        </w:trPr>
        <w:tc>
          <w:tcPr>
            <w:tcW w:w="567" w:type="dxa"/>
            <w:tcBorders>
              <w:top w:val="nil"/>
              <w:left w:val="nil"/>
              <w:bottom w:val="nil"/>
              <w:right w:val="single" w:sz="24" w:space="0" w:color="FFFFFF" w:themeColor="background1"/>
            </w:tcBorders>
            <w:shd w:val="clear" w:color="auto" w:fill="365F91" w:themeFill="accent1" w:themeFillShade="BF"/>
            <w:textDirection w:val="btLr"/>
            <w:vAlign w:val="center"/>
          </w:tcPr>
          <w:p w14:paraId="34B15398" w14:textId="77777777" w:rsidR="007A494D" w:rsidRPr="00C72E39" w:rsidRDefault="007A494D" w:rsidP="0081235F">
            <w:pPr>
              <w:pStyle w:val="TableParagraph"/>
              <w:ind w:left="113" w:right="113"/>
              <w:jc w:val="center"/>
              <w:rPr>
                <w:rFonts w:asciiTheme="minorHAnsi" w:hAnsiTheme="minorHAnsi"/>
                <w:b/>
                <w:color w:val="FFFFFF" w:themeColor="background1"/>
                <w:sz w:val="24"/>
              </w:rPr>
            </w:pPr>
            <w:r w:rsidRPr="00C72E39">
              <w:rPr>
                <w:rFonts w:asciiTheme="minorHAnsi" w:hAnsiTheme="minorHAnsi"/>
                <w:b/>
                <w:color w:val="FFFFFF" w:themeColor="background1"/>
                <w:sz w:val="24"/>
              </w:rPr>
              <w:t>ARRANGE</w:t>
            </w:r>
          </w:p>
        </w:tc>
        <w:tc>
          <w:tcPr>
            <w:tcW w:w="2126" w:type="dxa"/>
            <w:tcBorders>
              <w:left w:val="single" w:sz="24" w:space="0" w:color="FFFFFF" w:themeColor="background1"/>
            </w:tcBorders>
            <w:shd w:val="clear" w:color="auto" w:fill="355E91"/>
          </w:tcPr>
          <w:p w14:paraId="11E0C4B0" w14:textId="77777777" w:rsidR="007A494D" w:rsidRDefault="007A494D" w:rsidP="0081235F">
            <w:pPr>
              <w:pStyle w:val="TableParagraph"/>
              <w:ind w:left="0"/>
              <w:rPr>
                <w:rFonts w:ascii="Times New Roman"/>
                <w:sz w:val="20"/>
              </w:rPr>
            </w:pPr>
          </w:p>
        </w:tc>
        <w:tc>
          <w:tcPr>
            <w:tcW w:w="1910" w:type="dxa"/>
            <w:shd w:val="clear" w:color="auto" w:fill="355E91"/>
          </w:tcPr>
          <w:p w14:paraId="76E65EF0" w14:textId="77777777" w:rsidR="007A494D" w:rsidRDefault="007A494D" w:rsidP="0081235F">
            <w:pPr>
              <w:pStyle w:val="TableParagraph"/>
              <w:ind w:left="0"/>
              <w:rPr>
                <w:rFonts w:ascii="Times New Roman"/>
                <w:sz w:val="20"/>
              </w:rPr>
            </w:pPr>
          </w:p>
        </w:tc>
        <w:tc>
          <w:tcPr>
            <w:tcW w:w="4154" w:type="dxa"/>
            <w:shd w:val="clear" w:color="auto" w:fill="355E91"/>
          </w:tcPr>
          <w:p w14:paraId="7ED51691" w14:textId="77777777" w:rsidR="007A494D" w:rsidRDefault="007A494D" w:rsidP="0081235F">
            <w:pPr>
              <w:pStyle w:val="TableParagraph"/>
              <w:spacing w:before="11"/>
              <w:ind w:left="0"/>
              <w:rPr>
                <w:b/>
                <w:i/>
                <w:sz w:val="19"/>
              </w:rPr>
            </w:pPr>
          </w:p>
          <w:p w14:paraId="4FCFC2C5" w14:textId="77777777" w:rsidR="007A494D" w:rsidRDefault="007A494D" w:rsidP="0081235F">
            <w:pPr>
              <w:pStyle w:val="TableParagraph"/>
              <w:spacing w:before="1"/>
              <w:ind w:left="125"/>
              <w:rPr>
                <w:b/>
                <w:sz w:val="20"/>
              </w:rPr>
            </w:pPr>
            <w:r>
              <w:rPr>
                <w:b/>
                <w:color w:val="FFFFFF"/>
                <w:sz w:val="20"/>
              </w:rPr>
              <w:t>Review and monitor</w:t>
            </w:r>
          </w:p>
          <w:p w14:paraId="706FD069" w14:textId="77777777" w:rsidR="007A494D" w:rsidRDefault="007A494D" w:rsidP="0081235F">
            <w:pPr>
              <w:pStyle w:val="TableParagraph"/>
              <w:spacing w:before="1"/>
              <w:ind w:left="0"/>
              <w:rPr>
                <w:b/>
                <w:i/>
                <w:sz w:val="20"/>
              </w:rPr>
            </w:pPr>
          </w:p>
          <w:p w14:paraId="0C9B4BFA" w14:textId="77777777" w:rsidR="007A494D" w:rsidRDefault="007A494D" w:rsidP="0081235F">
            <w:pPr>
              <w:pStyle w:val="TableParagraph"/>
              <w:ind w:left="125"/>
              <w:rPr>
                <w:b/>
                <w:sz w:val="20"/>
              </w:rPr>
            </w:pPr>
            <w:r>
              <w:rPr>
                <w:b/>
                <w:color w:val="FFFFFF"/>
                <w:sz w:val="20"/>
              </w:rPr>
              <w:t>Long- term weight management</w:t>
            </w:r>
          </w:p>
        </w:tc>
      </w:tr>
    </w:tbl>
    <w:p w14:paraId="6F2DE20A" w14:textId="77777777" w:rsidR="007A494D" w:rsidRPr="00C72E39" w:rsidRDefault="007A494D" w:rsidP="007A494D">
      <w:pPr>
        <w:autoSpaceDE w:val="0"/>
        <w:autoSpaceDN w:val="0"/>
        <w:adjustRightInd w:val="0"/>
        <w:rPr>
          <w:rFonts w:asciiTheme="minorHAnsi" w:eastAsiaTheme="minorHAnsi" w:hAnsiTheme="minorHAnsi" w:cs="Calibri,Italic"/>
          <w:i/>
          <w:iCs/>
          <w:sz w:val="20"/>
        </w:rPr>
      </w:pPr>
      <w:r w:rsidRPr="00C72E39">
        <w:rPr>
          <w:rFonts w:asciiTheme="minorHAnsi" w:eastAsiaTheme="minorHAnsi" w:hAnsiTheme="minorHAnsi" w:cs="Calibri"/>
          <w:sz w:val="20"/>
        </w:rPr>
        <w:t xml:space="preserve">* </w:t>
      </w:r>
      <w:r w:rsidRPr="00C72E39">
        <w:rPr>
          <w:rFonts w:asciiTheme="minorHAnsi" w:eastAsiaTheme="minorHAnsi" w:hAnsiTheme="minorHAnsi" w:cs="Calibri,Italic"/>
          <w:i/>
          <w:iCs/>
          <w:sz w:val="20"/>
        </w:rPr>
        <w:t>Intensive interventions include very low energy diets, weight loss medication and bariatric</w:t>
      </w:r>
      <w:r>
        <w:rPr>
          <w:rFonts w:asciiTheme="minorHAnsi" w:eastAsiaTheme="minorHAnsi" w:hAnsiTheme="minorHAnsi" w:cs="Calibri,Italic"/>
          <w:i/>
          <w:iCs/>
          <w:sz w:val="20"/>
        </w:rPr>
        <w:t xml:space="preserve"> </w:t>
      </w:r>
      <w:r w:rsidRPr="00C72E39">
        <w:rPr>
          <w:rFonts w:asciiTheme="minorHAnsi" w:eastAsiaTheme="minorHAnsi" w:hAnsiTheme="minorHAnsi" w:cs="Calibri,Italic"/>
          <w:i/>
          <w:iCs/>
          <w:sz w:val="20"/>
        </w:rPr>
        <w:t>surgery</w:t>
      </w:r>
    </w:p>
    <w:p w14:paraId="4E45841B" w14:textId="77777777" w:rsidR="007A494D" w:rsidRPr="00C72E39" w:rsidRDefault="007A494D" w:rsidP="007A494D">
      <w:pPr>
        <w:autoSpaceDE w:val="0"/>
        <w:autoSpaceDN w:val="0"/>
        <w:adjustRightInd w:val="0"/>
        <w:rPr>
          <w:rFonts w:asciiTheme="minorHAnsi" w:eastAsiaTheme="minorHAnsi" w:hAnsiTheme="minorHAnsi" w:cs="Calibri"/>
          <w:sz w:val="20"/>
        </w:rPr>
      </w:pPr>
      <w:r w:rsidRPr="00C72E39">
        <w:rPr>
          <w:rFonts w:asciiTheme="minorHAnsi" w:eastAsiaTheme="minorHAnsi" w:hAnsiTheme="minorHAnsi" w:cs="Calibri"/>
          <w:sz w:val="20"/>
        </w:rPr>
        <w:t>Table from page xxii NHMRC Guidelines Management of Overweight and Obesity in Adults,</w:t>
      </w:r>
    </w:p>
    <w:p w14:paraId="5BE9DDFE" w14:textId="77777777" w:rsidR="007A494D" w:rsidRDefault="007A494D" w:rsidP="007A494D">
      <w:pPr>
        <w:rPr>
          <w:rFonts w:asciiTheme="minorHAnsi" w:eastAsiaTheme="minorHAnsi" w:hAnsiTheme="minorHAnsi" w:cs="Calibri"/>
          <w:sz w:val="20"/>
        </w:rPr>
      </w:pPr>
      <w:r w:rsidRPr="00C72E39">
        <w:rPr>
          <w:rFonts w:asciiTheme="minorHAnsi" w:eastAsiaTheme="minorHAnsi" w:hAnsiTheme="minorHAnsi" w:cs="Calibri"/>
          <w:sz w:val="20"/>
        </w:rPr>
        <w:t>Adolescents and Children in Australia 2013</w:t>
      </w:r>
      <w:r w:rsidRPr="00BF4866">
        <w:rPr>
          <w:rFonts w:asciiTheme="minorHAnsi" w:eastAsiaTheme="minorHAnsi" w:hAnsiTheme="minorHAnsi" w:cs="Calibri"/>
          <w:sz w:val="20"/>
          <w:vertAlign w:val="superscript"/>
        </w:rPr>
        <w:t>1</w:t>
      </w:r>
    </w:p>
    <w:p w14:paraId="35F63F7A" w14:textId="77777777" w:rsidR="007A494D" w:rsidRDefault="007A494D" w:rsidP="007A494D"/>
    <w:p w14:paraId="42EDFBDE" w14:textId="77777777" w:rsidR="007A494D" w:rsidRDefault="007A494D" w:rsidP="007A494D">
      <w:r>
        <w:t>Clinicians should discuss weight management with their adult patients who have Class 3 obesity. Clinicians should also know how the patient is approaching it, who their primary clinical care provider is for this condition, and support the patient and correspond with the primary care provider as appropriate. If appropriate care arrangements are not in place, clinicians can suggest that the patient seeks advice from their GP. They may also provide advice themselves if this is within their scope of practice, or refer to another service as appropriate.</w:t>
      </w:r>
    </w:p>
    <w:p w14:paraId="3EE4579A" w14:textId="77777777" w:rsidR="007A494D" w:rsidRDefault="007A494D" w:rsidP="007A494D"/>
    <w:p w14:paraId="5901949F" w14:textId="77777777" w:rsidR="007A494D" w:rsidRPr="0002750F" w:rsidRDefault="007A494D" w:rsidP="007A494D">
      <w:pPr>
        <w:pStyle w:val="Heading2"/>
      </w:pPr>
      <w:bookmarkStart w:id="39" w:name="_Toc509388185"/>
      <w:r>
        <w:t xml:space="preserve">3.5 </w:t>
      </w:r>
      <w:r w:rsidRPr="0002750F">
        <w:t>Ensure all care plans for these patients take account of their obesity</w:t>
      </w:r>
      <w:bookmarkEnd w:id="39"/>
    </w:p>
    <w:p w14:paraId="2CAF8442" w14:textId="77777777" w:rsidR="007A494D" w:rsidRDefault="007A494D" w:rsidP="007A494D">
      <w:r>
        <w:t>Care plans for people with Class 3 obesity should recognise and take account of their obesity. Remember that patients are used to dealing with their obesity, and clinicians should consult with them when planning their care.</w:t>
      </w:r>
    </w:p>
    <w:p w14:paraId="6471B26A" w14:textId="77777777" w:rsidR="007A494D" w:rsidRDefault="007A494D" w:rsidP="007A494D"/>
    <w:p w14:paraId="78D66F8F" w14:textId="77777777" w:rsidR="007A494D" w:rsidRDefault="007A494D" w:rsidP="007A494D">
      <w:r>
        <w:t>Specific issues to consider when planning care may include: recognition of co-morbidities; maintaining and supporting patient mobility; manual handling and special equipment matters; and pressure injuries. There may also be specific clinical issues to do with diagnostic tests, prescription medicines and surgery (pre-op and post-op). Hospitalised patients with Class 3 obesity can have higher complication rates and longer lengths of stay than the average hospital population. Early discharge planning is essential and should be addressed as part of the care planning process. This should consider the equipment and services Class 3 obese patients will need to return home, ongoing obesity management and coordination of care.</w:t>
      </w:r>
    </w:p>
    <w:p w14:paraId="5582C619" w14:textId="77777777" w:rsidR="007A494D" w:rsidRDefault="007A494D" w:rsidP="007A494D"/>
    <w:p w14:paraId="14F67E62" w14:textId="77777777" w:rsidR="007A494D" w:rsidRPr="0002750F" w:rsidRDefault="007A494D" w:rsidP="007A494D">
      <w:pPr>
        <w:pStyle w:val="Heading2"/>
      </w:pPr>
      <w:bookmarkStart w:id="40" w:name="_Toc509388186"/>
      <w:r>
        <w:t xml:space="preserve">3.6 </w:t>
      </w:r>
      <w:r w:rsidRPr="0002750F">
        <w:t>Common co-morbidities of Class 3 obesity in adults</w:t>
      </w:r>
      <w:bookmarkEnd w:id="40"/>
    </w:p>
    <w:p w14:paraId="4F5B2C26" w14:textId="77777777" w:rsidR="007A494D" w:rsidRDefault="007A494D" w:rsidP="007A494D">
      <w:pPr>
        <w:rPr>
          <w:color w:val="0000FF"/>
          <w:u w:val="single" w:color="0000FF"/>
        </w:rPr>
      </w:pPr>
      <w:r>
        <w:t xml:space="preserve">Obesity and increased central fat are associated with a number of common co-morbidities. These should be considered and addressed as appropriate in patient care. Some of the more common co-morbidities are listed in Table 3. (More information can be found at, UpToDate at: </w:t>
      </w:r>
      <w:hyperlink r:id="rId15">
        <w:r>
          <w:rPr>
            <w:color w:val="0000FF"/>
            <w:u w:val="single" w:color="0000FF"/>
          </w:rPr>
          <w:t>http://www.uptodate.com/contents/health-hazards-associated-with-obesity-in-</w:t>
        </w:r>
      </w:hyperlink>
      <w:r>
        <w:rPr>
          <w:color w:val="0000FF"/>
        </w:rPr>
        <w:t xml:space="preserve"> </w:t>
      </w:r>
      <w:r>
        <w:rPr>
          <w:color w:val="0000FF"/>
          <w:u w:val="single" w:color="0000FF"/>
        </w:rPr>
        <w:t>adults?source=search_result&amp;search=adult+obesity&amp;selectedTitle=5%7E150</w:t>
      </w:r>
    </w:p>
    <w:p w14:paraId="77B990A2" w14:textId="77777777" w:rsidR="007A494D" w:rsidRDefault="007A494D" w:rsidP="007A494D"/>
    <w:p w14:paraId="24EE8719" w14:textId="77777777" w:rsidR="007A494D" w:rsidRDefault="007A494D" w:rsidP="007A494D">
      <w:r>
        <w:t>Table 3: Common Obesity Related Morbidities and Risks in Adult Patients.</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4080"/>
        <w:gridCol w:w="3146"/>
      </w:tblGrid>
      <w:tr w:rsidR="007A494D" w14:paraId="016F71AF" w14:textId="77777777" w:rsidTr="0081235F">
        <w:trPr>
          <w:trHeight w:val="268"/>
          <w:tblHeader/>
        </w:trPr>
        <w:tc>
          <w:tcPr>
            <w:tcW w:w="1841" w:type="dxa"/>
            <w:shd w:val="clear" w:color="auto" w:fill="FFFF00"/>
          </w:tcPr>
          <w:p w14:paraId="6DC18174" w14:textId="77777777" w:rsidR="007A494D" w:rsidRDefault="007A494D" w:rsidP="0081235F">
            <w:pPr>
              <w:pStyle w:val="TableParagraph"/>
              <w:spacing w:line="248" w:lineRule="exact"/>
              <w:rPr>
                <w:b/>
              </w:rPr>
            </w:pPr>
            <w:r>
              <w:rPr>
                <w:b/>
              </w:rPr>
              <w:t>System</w:t>
            </w:r>
          </w:p>
        </w:tc>
        <w:tc>
          <w:tcPr>
            <w:tcW w:w="4080" w:type="dxa"/>
            <w:shd w:val="clear" w:color="auto" w:fill="FFFF00"/>
          </w:tcPr>
          <w:p w14:paraId="339021E6" w14:textId="77777777" w:rsidR="007A494D" w:rsidRDefault="007A494D" w:rsidP="0081235F">
            <w:pPr>
              <w:pStyle w:val="TableParagraph"/>
              <w:spacing w:line="248" w:lineRule="exact"/>
              <w:rPr>
                <w:b/>
              </w:rPr>
            </w:pPr>
            <w:r>
              <w:rPr>
                <w:b/>
              </w:rPr>
              <w:t>Common Co-morbidities</w:t>
            </w:r>
          </w:p>
        </w:tc>
        <w:tc>
          <w:tcPr>
            <w:tcW w:w="3146" w:type="dxa"/>
            <w:shd w:val="clear" w:color="auto" w:fill="FFFF00"/>
          </w:tcPr>
          <w:p w14:paraId="3B71379E" w14:textId="77777777" w:rsidR="007A494D" w:rsidRDefault="007A494D" w:rsidP="0081235F">
            <w:pPr>
              <w:pStyle w:val="TableParagraph"/>
              <w:spacing w:line="248" w:lineRule="exact"/>
              <w:ind w:left="157"/>
              <w:rPr>
                <w:b/>
              </w:rPr>
            </w:pPr>
            <w:r>
              <w:rPr>
                <w:b/>
              </w:rPr>
              <w:t>Other things to consider</w:t>
            </w:r>
          </w:p>
        </w:tc>
      </w:tr>
      <w:tr w:rsidR="007A494D" w14:paraId="36A75F2D" w14:textId="77777777" w:rsidTr="0081235F">
        <w:trPr>
          <w:trHeight w:val="315"/>
        </w:trPr>
        <w:tc>
          <w:tcPr>
            <w:tcW w:w="1841" w:type="dxa"/>
          </w:tcPr>
          <w:p w14:paraId="2B68EC6A" w14:textId="77777777" w:rsidR="007A494D" w:rsidRDefault="007A494D" w:rsidP="0081235F">
            <w:pPr>
              <w:pStyle w:val="TableParagraph"/>
              <w:spacing w:line="265" w:lineRule="exact"/>
              <w:rPr>
                <w:b/>
              </w:rPr>
            </w:pPr>
            <w:r>
              <w:rPr>
                <w:b/>
              </w:rPr>
              <w:t>Cardiovascular</w:t>
            </w:r>
          </w:p>
        </w:tc>
        <w:tc>
          <w:tcPr>
            <w:tcW w:w="4080" w:type="dxa"/>
          </w:tcPr>
          <w:p w14:paraId="73426DEE" w14:textId="77777777" w:rsidR="007A494D" w:rsidRDefault="007A494D" w:rsidP="0081235F">
            <w:pPr>
              <w:pStyle w:val="TableParagraph"/>
              <w:ind w:right="201"/>
            </w:pPr>
            <w:r>
              <w:t>Hypertension, Dyslipidemia, Heart failure, Coronary artery disease</w:t>
            </w:r>
          </w:p>
        </w:tc>
        <w:tc>
          <w:tcPr>
            <w:tcW w:w="3146" w:type="dxa"/>
          </w:tcPr>
          <w:p w14:paraId="56803D7B" w14:textId="77777777" w:rsidR="007A494D" w:rsidRDefault="007A494D" w:rsidP="0081235F">
            <w:pPr>
              <w:pStyle w:val="TableParagraph"/>
              <w:spacing w:line="265" w:lineRule="exact"/>
            </w:pPr>
            <w:r>
              <w:t>ECG changes</w:t>
            </w:r>
          </w:p>
          <w:p w14:paraId="10C37D37" w14:textId="77777777" w:rsidR="007A494D" w:rsidRDefault="007A494D" w:rsidP="0081235F">
            <w:pPr>
              <w:pStyle w:val="TableParagraph"/>
            </w:pPr>
            <w:r>
              <w:t>Venous thrombosis/ DVTs</w:t>
            </w:r>
          </w:p>
        </w:tc>
      </w:tr>
      <w:tr w:rsidR="007A494D" w14:paraId="370F3B77" w14:textId="77777777" w:rsidTr="0081235F">
        <w:trPr>
          <w:trHeight w:val="657"/>
        </w:trPr>
        <w:tc>
          <w:tcPr>
            <w:tcW w:w="1841" w:type="dxa"/>
          </w:tcPr>
          <w:p w14:paraId="4DFB2407" w14:textId="77777777" w:rsidR="007A494D" w:rsidRDefault="007A494D" w:rsidP="0081235F">
            <w:pPr>
              <w:pStyle w:val="TableParagraph"/>
              <w:spacing w:line="265" w:lineRule="exact"/>
              <w:rPr>
                <w:b/>
              </w:rPr>
            </w:pPr>
            <w:r>
              <w:rPr>
                <w:b/>
              </w:rPr>
              <w:t>Gastro- intestinal</w:t>
            </w:r>
          </w:p>
        </w:tc>
        <w:tc>
          <w:tcPr>
            <w:tcW w:w="4080" w:type="dxa"/>
          </w:tcPr>
          <w:p w14:paraId="36A202DA" w14:textId="77777777" w:rsidR="007A494D" w:rsidRDefault="007A494D" w:rsidP="0081235F">
            <w:pPr>
              <w:pStyle w:val="TableParagraph"/>
              <w:ind w:right="92"/>
            </w:pPr>
            <w:r>
              <w:t>Gastro-oesophageal reflux disease (GORD), Gall stones, Hepatic steatosis (fatty liver)</w:t>
            </w:r>
          </w:p>
        </w:tc>
        <w:tc>
          <w:tcPr>
            <w:tcW w:w="3146" w:type="dxa"/>
          </w:tcPr>
          <w:p w14:paraId="005424AA" w14:textId="77777777" w:rsidR="007A494D" w:rsidRDefault="007A494D" w:rsidP="0081235F">
            <w:pPr>
              <w:pStyle w:val="TableParagraph"/>
              <w:spacing w:line="265" w:lineRule="exact"/>
            </w:pPr>
            <w:r>
              <w:t>Aspiration especially post-op</w:t>
            </w:r>
          </w:p>
        </w:tc>
      </w:tr>
      <w:tr w:rsidR="007A494D" w14:paraId="4FA57C3A" w14:textId="77777777" w:rsidTr="0081235F">
        <w:trPr>
          <w:trHeight w:val="537"/>
        </w:trPr>
        <w:tc>
          <w:tcPr>
            <w:tcW w:w="1841" w:type="dxa"/>
          </w:tcPr>
          <w:p w14:paraId="5E69166D" w14:textId="77777777" w:rsidR="007A494D" w:rsidRDefault="007A494D" w:rsidP="0081235F">
            <w:pPr>
              <w:pStyle w:val="TableParagraph"/>
              <w:spacing w:line="265" w:lineRule="exact"/>
              <w:rPr>
                <w:b/>
              </w:rPr>
            </w:pPr>
            <w:r>
              <w:rPr>
                <w:b/>
              </w:rPr>
              <w:t>Musculoskeletal</w:t>
            </w:r>
          </w:p>
        </w:tc>
        <w:tc>
          <w:tcPr>
            <w:tcW w:w="4080" w:type="dxa"/>
          </w:tcPr>
          <w:p w14:paraId="008E45CB" w14:textId="77777777" w:rsidR="007A494D" w:rsidRDefault="007A494D" w:rsidP="0081235F">
            <w:pPr>
              <w:pStyle w:val="TableParagraph"/>
              <w:spacing w:line="265" w:lineRule="exact"/>
            </w:pPr>
            <w:r>
              <w:t>Arthritis in weight bearing joints, Gout</w:t>
            </w:r>
          </w:p>
        </w:tc>
        <w:tc>
          <w:tcPr>
            <w:tcW w:w="3146" w:type="dxa"/>
          </w:tcPr>
          <w:p w14:paraId="6D182953" w14:textId="77777777" w:rsidR="007A494D" w:rsidRDefault="007A494D" w:rsidP="0081235F">
            <w:pPr>
              <w:pStyle w:val="TableParagraph"/>
              <w:spacing w:line="265" w:lineRule="exact"/>
            </w:pPr>
            <w:r>
              <w:t>Pain, muscular weakness/deconditioning,</w:t>
            </w:r>
          </w:p>
          <w:p w14:paraId="52F65847" w14:textId="77777777" w:rsidR="007A494D" w:rsidRDefault="007A494D" w:rsidP="0081235F">
            <w:pPr>
              <w:pStyle w:val="TableParagraph"/>
              <w:spacing w:line="252" w:lineRule="exact"/>
            </w:pPr>
            <w:r>
              <w:t>reduced mobility</w:t>
            </w:r>
          </w:p>
        </w:tc>
      </w:tr>
      <w:tr w:rsidR="007A494D" w14:paraId="152FD3C0" w14:textId="77777777" w:rsidTr="0081235F">
        <w:trPr>
          <w:trHeight w:val="1074"/>
        </w:trPr>
        <w:tc>
          <w:tcPr>
            <w:tcW w:w="1841" w:type="dxa"/>
          </w:tcPr>
          <w:p w14:paraId="1A9B8E25" w14:textId="77777777" w:rsidR="007A494D" w:rsidRDefault="007A494D" w:rsidP="0081235F">
            <w:pPr>
              <w:pStyle w:val="TableParagraph"/>
              <w:ind w:right="645"/>
              <w:rPr>
                <w:b/>
              </w:rPr>
            </w:pPr>
            <w:r>
              <w:rPr>
                <w:b/>
              </w:rPr>
              <w:t>Respiratory System</w:t>
            </w:r>
          </w:p>
        </w:tc>
        <w:tc>
          <w:tcPr>
            <w:tcW w:w="4080" w:type="dxa"/>
          </w:tcPr>
          <w:p w14:paraId="5CA8E972" w14:textId="77777777" w:rsidR="007A494D" w:rsidRDefault="007A494D" w:rsidP="0081235F">
            <w:pPr>
              <w:pStyle w:val="TableParagraph"/>
              <w:spacing w:line="265" w:lineRule="exact"/>
            </w:pPr>
            <w:r>
              <w:t>Sleep apnoea, Hypo-ventilation syndrome</w:t>
            </w:r>
          </w:p>
        </w:tc>
        <w:tc>
          <w:tcPr>
            <w:tcW w:w="3146" w:type="dxa"/>
          </w:tcPr>
          <w:p w14:paraId="5710A99B" w14:textId="77777777" w:rsidR="007A494D" w:rsidRDefault="007A494D" w:rsidP="0081235F">
            <w:pPr>
              <w:pStyle w:val="TableParagraph"/>
              <w:ind w:right="275"/>
            </w:pPr>
            <w:r>
              <w:t>Reduced pulmonary function (FEV1,FVC etc) , decreased ventilatory drive, respiratory muscular weakness, post op</w:t>
            </w:r>
          </w:p>
          <w:p w14:paraId="35478E6E" w14:textId="77777777" w:rsidR="007A494D" w:rsidRDefault="007A494D" w:rsidP="0081235F">
            <w:pPr>
              <w:pStyle w:val="TableParagraph"/>
              <w:spacing w:line="252" w:lineRule="exact"/>
            </w:pPr>
            <w:r>
              <w:t>respiratory distress</w:t>
            </w:r>
          </w:p>
        </w:tc>
      </w:tr>
      <w:tr w:rsidR="007A494D" w14:paraId="35FFFFD1" w14:textId="77777777" w:rsidTr="0081235F">
        <w:trPr>
          <w:trHeight w:val="537"/>
        </w:trPr>
        <w:tc>
          <w:tcPr>
            <w:tcW w:w="1841" w:type="dxa"/>
          </w:tcPr>
          <w:p w14:paraId="66DB32A8" w14:textId="77777777" w:rsidR="007A494D" w:rsidRDefault="007A494D" w:rsidP="0081235F">
            <w:pPr>
              <w:pStyle w:val="TableParagraph"/>
              <w:spacing w:line="265" w:lineRule="exact"/>
              <w:rPr>
                <w:b/>
              </w:rPr>
            </w:pPr>
            <w:r>
              <w:rPr>
                <w:b/>
              </w:rPr>
              <w:t>Endocrine</w:t>
            </w:r>
          </w:p>
        </w:tc>
        <w:tc>
          <w:tcPr>
            <w:tcW w:w="4080" w:type="dxa"/>
          </w:tcPr>
          <w:p w14:paraId="023342EF" w14:textId="77777777" w:rsidR="007A494D" w:rsidRDefault="007A494D" w:rsidP="0081235F">
            <w:pPr>
              <w:pStyle w:val="TableParagraph"/>
              <w:spacing w:line="265" w:lineRule="exact"/>
            </w:pPr>
            <w:r>
              <w:t>Diabetes Type 2 and Gestational Diabetes</w:t>
            </w:r>
          </w:p>
        </w:tc>
        <w:tc>
          <w:tcPr>
            <w:tcW w:w="3146" w:type="dxa"/>
          </w:tcPr>
          <w:p w14:paraId="039B6D85" w14:textId="77777777" w:rsidR="007A494D" w:rsidRDefault="007A494D" w:rsidP="0081235F">
            <w:pPr>
              <w:pStyle w:val="TableParagraph"/>
              <w:spacing w:line="265" w:lineRule="exact"/>
            </w:pPr>
            <w:r>
              <w:t>Poor peripheral circulation and sensation,</w:t>
            </w:r>
          </w:p>
          <w:p w14:paraId="7CC53E9D" w14:textId="77777777" w:rsidR="007A494D" w:rsidRDefault="007A494D" w:rsidP="0081235F">
            <w:pPr>
              <w:pStyle w:val="TableParagraph"/>
              <w:spacing w:line="252" w:lineRule="exact"/>
            </w:pPr>
            <w:r>
              <w:t>delayed wound healing.</w:t>
            </w:r>
          </w:p>
        </w:tc>
      </w:tr>
      <w:tr w:rsidR="007A494D" w14:paraId="03CECFD7" w14:textId="77777777" w:rsidTr="0081235F">
        <w:trPr>
          <w:trHeight w:val="537"/>
        </w:trPr>
        <w:tc>
          <w:tcPr>
            <w:tcW w:w="1841" w:type="dxa"/>
          </w:tcPr>
          <w:p w14:paraId="3905CA1F" w14:textId="77777777" w:rsidR="007A494D" w:rsidRDefault="007A494D" w:rsidP="0081235F">
            <w:pPr>
              <w:pStyle w:val="TableParagraph"/>
              <w:spacing w:line="265" w:lineRule="exact"/>
              <w:rPr>
                <w:b/>
              </w:rPr>
            </w:pPr>
            <w:r>
              <w:rPr>
                <w:b/>
              </w:rPr>
              <w:t>Psychological</w:t>
            </w:r>
          </w:p>
          <w:p w14:paraId="2E27CEE5" w14:textId="77777777" w:rsidR="007A494D" w:rsidRDefault="007A494D" w:rsidP="0081235F">
            <w:pPr>
              <w:pStyle w:val="TableParagraph"/>
              <w:spacing w:line="252" w:lineRule="exact"/>
              <w:rPr>
                <w:b/>
              </w:rPr>
            </w:pPr>
            <w:r>
              <w:rPr>
                <w:b/>
              </w:rPr>
              <w:t>function</w:t>
            </w:r>
          </w:p>
        </w:tc>
        <w:tc>
          <w:tcPr>
            <w:tcW w:w="4080" w:type="dxa"/>
          </w:tcPr>
          <w:p w14:paraId="4838F38B" w14:textId="77777777" w:rsidR="007A494D" w:rsidRDefault="007A494D" w:rsidP="0081235F">
            <w:pPr>
              <w:pStyle w:val="TableParagraph"/>
              <w:spacing w:line="265" w:lineRule="exact"/>
            </w:pPr>
            <w:r>
              <w:t>Depression</w:t>
            </w:r>
          </w:p>
        </w:tc>
        <w:tc>
          <w:tcPr>
            <w:tcW w:w="3146" w:type="dxa"/>
          </w:tcPr>
          <w:p w14:paraId="4BE3F8DB" w14:textId="77777777" w:rsidR="007A494D" w:rsidRDefault="007A494D" w:rsidP="0081235F">
            <w:pPr>
              <w:pStyle w:val="TableParagraph"/>
              <w:spacing w:line="265" w:lineRule="exact"/>
              <w:ind w:left="157"/>
            </w:pPr>
            <w:r>
              <w:t>Prejudice, stigma and discrimination</w:t>
            </w:r>
          </w:p>
        </w:tc>
      </w:tr>
      <w:tr w:rsidR="007A494D" w14:paraId="68CB8639" w14:textId="77777777" w:rsidTr="0081235F">
        <w:trPr>
          <w:trHeight w:val="292"/>
        </w:trPr>
        <w:tc>
          <w:tcPr>
            <w:tcW w:w="1841" w:type="dxa"/>
          </w:tcPr>
          <w:p w14:paraId="30081C42" w14:textId="77777777" w:rsidR="007A494D" w:rsidRDefault="007A494D" w:rsidP="0081235F">
            <w:pPr>
              <w:pStyle w:val="TableParagraph"/>
              <w:spacing w:line="265" w:lineRule="exact"/>
              <w:rPr>
                <w:b/>
              </w:rPr>
            </w:pPr>
            <w:r>
              <w:rPr>
                <w:b/>
              </w:rPr>
              <w:t>Skin</w:t>
            </w:r>
          </w:p>
        </w:tc>
        <w:tc>
          <w:tcPr>
            <w:tcW w:w="4080" w:type="dxa"/>
          </w:tcPr>
          <w:p w14:paraId="4230EFCF" w14:textId="77777777" w:rsidR="007A494D" w:rsidRDefault="007A494D" w:rsidP="0081235F">
            <w:pPr>
              <w:pStyle w:val="TableParagraph"/>
              <w:spacing w:line="265" w:lineRule="exact"/>
            </w:pPr>
            <w:r>
              <w:t>Skin infections</w:t>
            </w:r>
          </w:p>
        </w:tc>
        <w:tc>
          <w:tcPr>
            <w:tcW w:w="3146" w:type="dxa"/>
          </w:tcPr>
          <w:p w14:paraId="6A6CBE40" w14:textId="77777777" w:rsidR="007A494D" w:rsidRDefault="007A494D" w:rsidP="0081235F">
            <w:pPr>
              <w:pStyle w:val="TableParagraph"/>
              <w:ind w:left="0"/>
              <w:rPr>
                <w:rFonts w:ascii="Times New Roman"/>
                <w:sz w:val="20"/>
              </w:rPr>
            </w:pPr>
          </w:p>
        </w:tc>
      </w:tr>
      <w:tr w:rsidR="007A494D" w14:paraId="3680E466" w14:textId="77777777" w:rsidTr="0081235F">
        <w:trPr>
          <w:trHeight w:val="537"/>
        </w:trPr>
        <w:tc>
          <w:tcPr>
            <w:tcW w:w="1841" w:type="dxa"/>
          </w:tcPr>
          <w:p w14:paraId="62E924E7" w14:textId="77777777" w:rsidR="007A494D" w:rsidRDefault="007A494D" w:rsidP="0081235F">
            <w:pPr>
              <w:pStyle w:val="TableParagraph"/>
              <w:spacing w:line="265" w:lineRule="exact"/>
              <w:rPr>
                <w:b/>
              </w:rPr>
            </w:pPr>
            <w:r>
              <w:rPr>
                <w:b/>
              </w:rPr>
              <w:t>Renal</w:t>
            </w:r>
          </w:p>
        </w:tc>
        <w:tc>
          <w:tcPr>
            <w:tcW w:w="4080" w:type="dxa"/>
          </w:tcPr>
          <w:p w14:paraId="253996D9" w14:textId="77777777" w:rsidR="007A494D" w:rsidRDefault="007A494D" w:rsidP="0081235F">
            <w:pPr>
              <w:pStyle w:val="TableParagraph"/>
              <w:spacing w:line="265" w:lineRule="exact"/>
            </w:pPr>
            <w:r>
              <w:t>Chronic kidney disease, Urinary</w:t>
            </w:r>
          </w:p>
          <w:p w14:paraId="2D5CD002" w14:textId="77777777" w:rsidR="007A494D" w:rsidRDefault="007A494D" w:rsidP="0081235F">
            <w:pPr>
              <w:pStyle w:val="TableParagraph"/>
              <w:spacing w:line="252" w:lineRule="exact"/>
            </w:pPr>
            <w:r>
              <w:t>incontinence</w:t>
            </w:r>
          </w:p>
        </w:tc>
        <w:tc>
          <w:tcPr>
            <w:tcW w:w="3146" w:type="dxa"/>
          </w:tcPr>
          <w:p w14:paraId="5CA4BA03" w14:textId="77777777" w:rsidR="007A494D" w:rsidRDefault="007A494D" w:rsidP="0081235F">
            <w:pPr>
              <w:pStyle w:val="TableParagraph"/>
              <w:ind w:left="0"/>
              <w:rPr>
                <w:rFonts w:ascii="Times New Roman"/>
                <w:sz w:val="20"/>
              </w:rPr>
            </w:pPr>
          </w:p>
        </w:tc>
      </w:tr>
    </w:tbl>
    <w:p w14:paraId="09C6F8B2" w14:textId="77777777" w:rsidR="007A494D" w:rsidRDefault="007A494D" w:rsidP="007A494D"/>
    <w:p w14:paraId="313F7DC3" w14:textId="77777777" w:rsidR="007A494D" w:rsidRPr="0002750F" w:rsidRDefault="007A494D" w:rsidP="007A494D">
      <w:pPr>
        <w:pStyle w:val="Heading2"/>
      </w:pPr>
      <w:bookmarkStart w:id="41" w:name="_Toc509388187"/>
      <w:r>
        <w:t xml:space="preserve">3.7 </w:t>
      </w:r>
      <w:r w:rsidRPr="0002750F">
        <w:t>Pressure injuries</w:t>
      </w:r>
      <w:bookmarkEnd w:id="41"/>
    </w:p>
    <w:p w14:paraId="6BC8650C" w14:textId="77777777" w:rsidR="007A494D" w:rsidRDefault="007A494D" w:rsidP="007A494D">
      <w:pPr>
        <w:pStyle w:val="BodyText"/>
        <w:rPr>
          <w:sz w:val="24"/>
          <w:szCs w:val="24"/>
        </w:rPr>
      </w:pPr>
      <w:r w:rsidRPr="00B4684D">
        <w:rPr>
          <w:sz w:val="24"/>
          <w:szCs w:val="24"/>
        </w:rPr>
        <w:t>Class 3 obese patient’s skin integrity must be assessed and recorded in the patient</w:t>
      </w:r>
      <w:r>
        <w:rPr>
          <w:sz w:val="24"/>
          <w:szCs w:val="24"/>
        </w:rPr>
        <w:t>’s</w:t>
      </w:r>
      <w:r w:rsidRPr="00B4684D">
        <w:rPr>
          <w:sz w:val="24"/>
          <w:szCs w:val="24"/>
        </w:rPr>
        <w:t xml:space="preserve"> notes. Appropriate equipment and care for pressure injuries must be included in the patient’s care plan. Refer to </w:t>
      </w:r>
      <w:r>
        <w:rPr>
          <w:sz w:val="24"/>
          <w:szCs w:val="24"/>
        </w:rPr>
        <w:t>CHHS</w:t>
      </w:r>
      <w:r w:rsidRPr="00B4684D">
        <w:rPr>
          <w:sz w:val="24"/>
          <w:szCs w:val="24"/>
        </w:rPr>
        <w:t xml:space="preserve"> Pressure Injury Prevention and Management </w:t>
      </w:r>
      <w:r>
        <w:rPr>
          <w:sz w:val="24"/>
          <w:szCs w:val="24"/>
        </w:rPr>
        <w:t>Clinical Procedure.</w:t>
      </w:r>
    </w:p>
    <w:p w14:paraId="01D97AF1" w14:textId="77777777" w:rsidR="007A494D" w:rsidRPr="00B4684D" w:rsidRDefault="007A494D" w:rsidP="007A494D">
      <w:pPr>
        <w:pStyle w:val="BodyText"/>
        <w:rPr>
          <w:rFonts w:asciiTheme="minorHAnsi" w:hAnsiTheme="minorHAnsi"/>
          <w:sz w:val="24"/>
          <w:szCs w:val="24"/>
        </w:rPr>
      </w:pPr>
    </w:p>
    <w:p w14:paraId="0F4E3384" w14:textId="77777777" w:rsidR="007A494D" w:rsidRPr="0002750F" w:rsidRDefault="007A494D" w:rsidP="007A494D">
      <w:pPr>
        <w:pStyle w:val="Heading2"/>
      </w:pPr>
      <w:bookmarkStart w:id="42" w:name="_Toc509388188"/>
      <w:r>
        <w:t xml:space="preserve">3.8 </w:t>
      </w:r>
      <w:r w:rsidRPr="0002750F">
        <w:t>Issues with diagnostic tests</w:t>
      </w:r>
      <w:bookmarkEnd w:id="42"/>
    </w:p>
    <w:p w14:paraId="461AF8C4" w14:textId="77777777" w:rsidR="007A494D" w:rsidRDefault="007A494D" w:rsidP="007A494D">
      <w:pPr>
        <w:pStyle w:val="BodyText"/>
        <w:rPr>
          <w:rFonts w:asciiTheme="minorHAnsi" w:hAnsiTheme="minorHAnsi"/>
          <w:sz w:val="24"/>
          <w:szCs w:val="24"/>
        </w:rPr>
      </w:pPr>
      <w:r w:rsidRPr="00B4684D">
        <w:rPr>
          <w:rFonts w:asciiTheme="minorHAnsi" w:hAnsiTheme="minorHAnsi"/>
          <w:sz w:val="24"/>
          <w:szCs w:val="24"/>
        </w:rPr>
        <w:t>Limitations in clinical technology means that some diagnostic tests and equipment can be difficult to access or may not produce reliable results in the Class 3 obese patient. Extra fatty tissue can affect the function of a number of devices from electronic blood pressure recording machines to high tech scanners. Clinicians should discuss these issues with the relevant diagnostic service to ensure the best outcome for the patient.</w:t>
      </w:r>
    </w:p>
    <w:p w14:paraId="13C64F52" w14:textId="77777777" w:rsidR="007A494D" w:rsidRPr="00B4684D" w:rsidRDefault="007A494D" w:rsidP="007A494D">
      <w:pPr>
        <w:pStyle w:val="BodyText"/>
        <w:rPr>
          <w:rFonts w:asciiTheme="minorHAnsi" w:hAnsiTheme="minorHAnsi"/>
          <w:sz w:val="24"/>
          <w:szCs w:val="24"/>
        </w:rPr>
      </w:pPr>
    </w:p>
    <w:p w14:paraId="39DDC7A5" w14:textId="77777777" w:rsidR="007A494D" w:rsidRPr="0002750F" w:rsidRDefault="007A494D" w:rsidP="007A494D">
      <w:pPr>
        <w:pStyle w:val="Heading2"/>
      </w:pPr>
      <w:bookmarkStart w:id="43" w:name="_Toc509388189"/>
      <w:r>
        <w:t xml:space="preserve">3.9 </w:t>
      </w:r>
      <w:r w:rsidRPr="0002750F">
        <w:t>Issues with prescribing</w:t>
      </w:r>
      <w:bookmarkEnd w:id="43"/>
    </w:p>
    <w:p w14:paraId="0C40CA07" w14:textId="77777777" w:rsidR="007A494D" w:rsidRDefault="007A494D" w:rsidP="007A494D">
      <w:pPr>
        <w:pStyle w:val="BodyText"/>
        <w:rPr>
          <w:rFonts w:asciiTheme="minorHAnsi" w:hAnsiTheme="minorHAnsi"/>
          <w:sz w:val="24"/>
          <w:szCs w:val="24"/>
        </w:rPr>
      </w:pPr>
      <w:r w:rsidRPr="00B4684D">
        <w:rPr>
          <w:rFonts w:asciiTheme="minorHAnsi" w:hAnsiTheme="minorHAnsi"/>
          <w:sz w:val="24"/>
          <w:szCs w:val="24"/>
        </w:rPr>
        <w:t>Pharmacy staff should be consulted about weight-based dosing, medications to avoid, and appropriate medication formulation for patients with Class 3 obesity.</w:t>
      </w:r>
    </w:p>
    <w:p w14:paraId="2C933427" w14:textId="77777777" w:rsidR="007A494D" w:rsidRPr="00B4684D" w:rsidRDefault="007A494D" w:rsidP="007A494D">
      <w:pPr>
        <w:pStyle w:val="BodyText"/>
        <w:rPr>
          <w:rFonts w:asciiTheme="minorHAnsi" w:hAnsiTheme="minorHAnsi"/>
          <w:sz w:val="24"/>
          <w:szCs w:val="24"/>
        </w:rPr>
      </w:pPr>
    </w:p>
    <w:p w14:paraId="26448C31" w14:textId="77777777" w:rsidR="007A494D" w:rsidRPr="0002750F" w:rsidRDefault="007A494D" w:rsidP="007A494D">
      <w:pPr>
        <w:pStyle w:val="Heading2"/>
      </w:pPr>
      <w:bookmarkStart w:id="44" w:name="_Toc509388190"/>
      <w:r>
        <w:t xml:space="preserve">3.10 </w:t>
      </w:r>
      <w:r w:rsidRPr="0002750F">
        <w:t>Issues with surgery</w:t>
      </w:r>
      <w:bookmarkEnd w:id="44"/>
    </w:p>
    <w:p w14:paraId="2EC30D57" w14:textId="77777777" w:rsidR="007A494D" w:rsidRDefault="007A494D" w:rsidP="007A494D">
      <w:pPr>
        <w:pStyle w:val="BodyText"/>
        <w:rPr>
          <w:rFonts w:asciiTheme="minorHAnsi" w:hAnsiTheme="minorHAnsi"/>
          <w:sz w:val="24"/>
          <w:szCs w:val="24"/>
        </w:rPr>
      </w:pPr>
      <w:r w:rsidRPr="00B4684D">
        <w:rPr>
          <w:rFonts w:asciiTheme="minorHAnsi" w:hAnsiTheme="minorHAnsi"/>
          <w:sz w:val="24"/>
          <w:szCs w:val="24"/>
        </w:rPr>
        <w:t>Surgery</w:t>
      </w:r>
      <w:r>
        <w:rPr>
          <w:rFonts w:asciiTheme="minorHAnsi" w:hAnsiTheme="minorHAnsi"/>
          <w:sz w:val="24"/>
          <w:szCs w:val="24"/>
        </w:rPr>
        <w:t xml:space="preserve"> for patients with</w:t>
      </w:r>
      <w:r w:rsidRPr="00B4684D">
        <w:rPr>
          <w:rFonts w:asciiTheme="minorHAnsi" w:hAnsiTheme="minorHAnsi"/>
          <w:sz w:val="24"/>
          <w:szCs w:val="24"/>
        </w:rPr>
        <w:t xml:space="preserve"> Class 3 obes</w:t>
      </w:r>
      <w:r>
        <w:rPr>
          <w:rFonts w:asciiTheme="minorHAnsi" w:hAnsiTheme="minorHAnsi"/>
          <w:sz w:val="24"/>
          <w:szCs w:val="24"/>
        </w:rPr>
        <w:t>ity</w:t>
      </w:r>
      <w:r w:rsidRPr="00B4684D">
        <w:rPr>
          <w:rFonts w:asciiTheme="minorHAnsi" w:hAnsiTheme="minorHAnsi"/>
          <w:sz w:val="24"/>
          <w:szCs w:val="24"/>
        </w:rPr>
        <w:t xml:space="preserve"> can be associated with extra complications resulting in increased I</w:t>
      </w:r>
      <w:r>
        <w:rPr>
          <w:rFonts w:asciiTheme="minorHAnsi" w:hAnsiTheme="minorHAnsi"/>
          <w:sz w:val="24"/>
          <w:szCs w:val="24"/>
        </w:rPr>
        <w:t xml:space="preserve">ntensive </w:t>
      </w:r>
      <w:r w:rsidRPr="00B4684D">
        <w:rPr>
          <w:rFonts w:asciiTheme="minorHAnsi" w:hAnsiTheme="minorHAnsi"/>
          <w:sz w:val="24"/>
          <w:szCs w:val="24"/>
        </w:rPr>
        <w:t>C</w:t>
      </w:r>
      <w:r>
        <w:rPr>
          <w:rFonts w:asciiTheme="minorHAnsi" w:hAnsiTheme="minorHAnsi"/>
          <w:sz w:val="24"/>
          <w:szCs w:val="24"/>
        </w:rPr>
        <w:t xml:space="preserve">are </w:t>
      </w:r>
      <w:r w:rsidRPr="00B4684D">
        <w:rPr>
          <w:rFonts w:asciiTheme="minorHAnsi" w:hAnsiTheme="minorHAnsi"/>
          <w:sz w:val="24"/>
          <w:szCs w:val="24"/>
        </w:rPr>
        <w:t>U</w:t>
      </w:r>
      <w:r>
        <w:rPr>
          <w:rFonts w:asciiTheme="minorHAnsi" w:hAnsiTheme="minorHAnsi"/>
          <w:sz w:val="24"/>
          <w:szCs w:val="24"/>
        </w:rPr>
        <w:t>nit</w:t>
      </w:r>
      <w:r w:rsidRPr="00B4684D">
        <w:rPr>
          <w:rFonts w:asciiTheme="minorHAnsi" w:hAnsiTheme="minorHAnsi"/>
          <w:sz w:val="24"/>
          <w:szCs w:val="24"/>
        </w:rPr>
        <w:t xml:space="preserve"> admission rates. These complications can be reduced by proactive (pre-op) management and active (post-op) treatment. Complications in surgical patients and other critically ill patients include respiratory dysfunction, difficult in</w:t>
      </w:r>
      <w:r>
        <w:rPr>
          <w:rFonts w:asciiTheme="minorHAnsi" w:hAnsiTheme="minorHAnsi"/>
          <w:sz w:val="24"/>
          <w:szCs w:val="24"/>
        </w:rPr>
        <w:t>t</w:t>
      </w:r>
      <w:r w:rsidRPr="00B4684D">
        <w:rPr>
          <w:rFonts w:asciiTheme="minorHAnsi" w:hAnsiTheme="minorHAnsi"/>
          <w:sz w:val="24"/>
          <w:szCs w:val="24"/>
        </w:rPr>
        <w:t>ubation and ex</w:t>
      </w:r>
      <w:r>
        <w:rPr>
          <w:rFonts w:asciiTheme="minorHAnsi" w:hAnsiTheme="minorHAnsi"/>
          <w:sz w:val="24"/>
          <w:szCs w:val="24"/>
        </w:rPr>
        <w:t>t</w:t>
      </w:r>
      <w:r w:rsidRPr="00B4684D">
        <w:rPr>
          <w:rFonts w:asciiTheme="minorHAnsi" w:hAnsiTheme="minorHAnsi"/>
          <w:sz w:val="24"/>
          <w:szCs w:val="24"/>
        </w:rPr>
        <w:t>ubation, venous thrombosis, hemodynamic instability, infection and sepsis, difficult vascular access, incorrect medication doses and nutrition.  Poor positioning and reduced mobilisation can result in tissue breakdown, aspiration, increased peripheral oedema, respiratory difficulties deconditioning and increase length of stay. For more information refer to the Up</w:t>
      </w:r>
      <w:r>
        <w:rPr>
          <w:rFonts w:asciiTheme="minorHAnsi" w:hAnsiTheme="minorHAnsi"/>
          <w:sz w:val="24"/>
          <w:szCs w:val="24"/>
        </w:rPr>
        <w:t>T</w:t>
      </w:r>
      <w:r w:rsidRPr="00B4684D">
        <w:rPr>
          <w:rFonts w:asciiTheme="minorHAnsi" w:hAnsiTheme="minorHAnsi"/>
          <w:sz w:val="24"/>
          <w:szCs w:val="24"/>
        </w:rPr>
        <w:t>o</w:t>
      </w:r>
      <w:r>
        <w:rPr>
          <w:rFonts w:asciiTheme="minorHAnsi" w:hAnsiTheme="minorHAnsi"/>
          <w:sz w:val="24"/>
          <w:szCs w:val="24"/>
        </w:rPr>
        <w:t>D</w:t>
      </w:r>
      <w:r w:rsidRPr="00B4684D">
        <w:rPr>
          <w:rFonts w:asciiTheme="minorHAnsi" w:hAnsiTheme="minorHAnsi"/>
          <w:sz w:val="24"/>
          <w:szCs w:val="24"/>
        </w:rPr>
        <w:t xml:space="preserve">ate database at the ACT Health Library website and search for </w:t>
      </w:r>
      <w:r w:rsidRPr="00C4671A">
        <w:rPr>
          <w:rFonts w:asciiTheme="minorHAnsi" w:hAnsiTheme="minorHAnsi"/>
          <w:i/>
          <w:sz w:val="24"/>
          <w:szCs w:val="24"/>
        </w:rPr>
        <w:t>management of the critically ill patient with obesity</w:t>
      </w:r>
      <w:r w:rsidRPr="00C4671A">
        <w:rPr>
          <w:rFonts w:asciiTheme="minorHAnsi" w:hAnsiTheme="minorHAnsi"/>
          <w:sz w:val="24"/>
          <w:szCs w:val="24"/>
        </w:rPr>
        <w:t>.</w:t>
      </w:r>
    </w:p>
    <w:p w14:paraId="0BE39EC5" w14:textId="77777777" w:rsidR="007A494D" w:rsidRPr="00B4684D" w:rsidRDefault="007A494D" w:rsidP="007A494D">
      <w:pPr>
        <w:pStyle w:val="BodyText"/>
        <w:rPr>
          <w:rFonts w:asciiTheme="minorHAnsi" w:hAnsiTheme="minorHAnsi"/>
          <w:sz w:val="24"/>
          <w:szCs w:val="24"/>
        </w:rPr>
      </w:pPr>
    </w:p>
    <w:p w14:paraId="364EAF14" w14:textId="77777777" w:rsidR="007A494D" w:rsidRPr="0002750F" w:rsidRDefault="007A494D" w:rsidP="007A494D">
      <w:pPr>
        <w:pStyle w:val="Heading2"/>
      </w:pPr>
      <w:bookmarkStart w:id="45" w:name="_Toc509388191"/>
      <w:r>
        <w:t xml:space="preserve">3.11 </w:t>
      </w:r>
      <w:r w:rsidRPr="0002750F">
        <w:t>Adult Obesity Management Service</w:t>
      </w:r>
      <w:bookmarkEnd w:id="45"/>
    </w:p>
    <w:p w14:paraId="039F5EFF" w14:textId="77777777" w:rsidR="007A494D" w:rsidRDefault="007A494D" w:rsidP="007A494D">
      <w:pPr>
        <w:pStyle w:val="BodyText"/>
        <w:rPr>
          <w:rFonts w:asciiTheme="minorHAnsi" w:hAnsiTheme="minorHAnsi"/>
          <w:sz w:val="24"/>
          <w:szCs w:val="24"/>
        </w:rPr>
      </w:pPr>
      <w:r>
        <w:rPr>
          <w:rFonts w:asciiTheme="minorHAnsi" w:hAnsiTheme="minorHAnsi"/>
          <w:sz w:val="24"/>
          <w:szCs w:val="24"/>
        </w:rPr>
        <w:t>The ACT Health</w:t>
      </w:r>
      <w:r w:rsidRPr="00B4684D">
        <w:rPr>
          <w:rFonts w:asciiTheme="minorHAnsi" w:hAnsiTheme="minorHAnsi"/>
          <w:sz w:val="24"/>
          <w:szCs w:val="24"/>
        </w:rPr>
        <w:t xml:space="preserve"> adult </w:t>
      </w:r>
      <w:r>
        <w:rPr>
          <w:rFonts w:asciiTheme="minorHAnsi" w:hAnsiTheme="minorHAnsi"/>
          <w:sz w:val="24"/>
          <w:szCs w:val="24"/>
        </w:rPr>
        <w:t>O</w:t>
      </w:r>
      <w:r w:rsidRPr="00B4684D">
        <w:rPr>
          <w:rFonts w:asciiTheme="minorHAnsi" w:hAnsiTheme="minorHAnsi"/>
          <w:sz w:val="24"/>
          <w:szCs w:val="24"/>
        </w:rPr>
        <w:t xml:space="preserve">besity </w:t>
      </w:r>
      <w:r>
        <w:rPr>
          <w:rFonts w:asciiTheme="minorHAnsi" w:hAnsiTheme="minorHAnsi"/>
          <w:sz w:val="24"/>
          <w:szCs w:val="24"/>
        </w:rPr>
        <w:t>M</w:t>
      </w:r>
      <w:r w:rsidRPr="00B4684D">
        <w:rPr>
          <w:rFonts w:asciiTheme="minorHAnsi" w:hAnsiTheme="minorHAnsi"/>
          <w:sz w:val="24"/>
          <w:szCs w:val="24"/>
        </w:rPr>
        <w:t xml:space="preserve">anagement </w:t>
      </w:r>
      <w:r>
        <w:rPr>
          <w:rFonts w:asciiTheme="minorHAnsi" w:hAnsiTheme="minorHAnsi"/>
          <w:sz w:val="24"/>
          <w:szCs w:val="24"/>
        </w:rPr>
        <w:t>S</w:t>
      </w:r>
      <w:r w:rsidRPr="00B4684D">
        <w:rPr>
          <w:rFonts w:asciiTheme="minorHAnsi" w:hAnsiTheme="minorHAnsi"/>
          <w:sz w:val="24"/>
          <w:szCs w:val="24"/>
        </w:rPr>
        <w:t xml:space="preserve">ervice </w:t>
      </w:r>
      <w:r>
        <w:rPr>
          <w:rFonts w:asciiTheme="minorHAnsi" w:hAnsiTheme="minorHAnsi"/>
          <w:sz w:val="24"/>
          <w:szCs w:val="24"/>
        </w:rPr>
        <w:t>(OMS) is</w:t>
      </w:r>
      <w:r w:rsidRPr="00B4684D">
        <w:rPr>
          <w:rFonts w:asciiTheme="minorHAnsi" w:hAnsiTheme="minorHAnsi"/>
          <w:sz w:val="24"/>
          <w:szCs w:val="24"/>
        </w:rPr>
        <w:t xml:space="preserve"> located at Belconnen Health Centre. The service </w:t>
      </w:r>
      <w:r>
        <w:rPr>
          <w:rFonts w:asciiTheme="minorHAnsi" w:hAnsiTheme="minorHAnsi"/>
          <w:sz w:val="24"/>
          <w:szCs w:val="24"/>
        </w:rPr>
        <w:t>is medically led and the team also includes dietitians, psychologists, exercise physiologists, registered nurses and administration staff. The service prepares and supports individual Obesity Management Plans for patients focusing on self-management and improving patient risk factor profiles and wellbeing through physical activity, nutrition education and psychological and community support.</w:t>
      </w:r>
    </w:p>
    <w:p w14:paraId="140C101E" w14:textId="77777777" w:rsidR="007A494D" w:rsidRPr="00B4684D" w:rsidRDefault="007A494D" w:rsidP="007A494D">
      <w:pPr>
        <w:pStyle w:val="BodyText"/>
        <w:rPr>
          <w:rFonts w:asciiTheme="minorHAnsi" w:hAnsiTheme="minorHAnsi"/>
          <w:sz w:val="24"/>
          <w:szCs w:val="24"/>
        </w:rPr>
      </w:pPr>
    </w:p>
    <w:p w14:paraId="2DD2FA35" w14:textId="77777777" w:rsidR="007A494D" w:rsidRPr="0002750F" w:rsidRDefault="007A494D" w:rsidP="007A494D">
      <w:pPr>
        <w:pStyle w:val="Heading2"/>
      </w:pPr>
      <w:bookmarkStart w:id="46" w:name="_Toc509388192"/>
      <w:r>
        <w:t xml:space="preserve">3.12 </w:t>
      </w:r>
      <w:r w:rsidRPr="0002750F">
        <w:t>Public Bariatric Surgery</w:t>
      </w:r>
      <w:bookmarkEnd w:id="46"/>
    </w:p>
    <w:p w14:paraId="11D59CA6" w14:textId="77777777" w:rsidR="007A494D" w:rsidRDefault="007A494D" w:rsidP="007A494D">
      <w:r>
        <w:t>Public bariatric surgery commenced in late 2017. Patients who have had recent engagement with the OMS and who are deemed suitable by the Bariatric Surgery Advisory Committee, may be eligible for assessment by surgeons for a completion of the procedure.</w:t>
      </w:r>
    </w:p>
    <w:p w14:paraId="4AE7342B" w14:textId="77777777" w:rsidR="007A494D" w:rsidRPr="007845DF" w:rsidRDefault="007A494D" w:rsidP="007A494D"/>
    <w:p w14:paraId="22C92160" w14:textId="77777777" w:rsidR="007A494D" w:rsidRPr="00BF4866" w:rsidRDefault="007A494D" w:rsidP="007A494D">
      <w:pPr>
        <w:pStyle w:val="Default"/>
        <w:jc w:val="right"/>
        <w:rPr>
          <w:rFonts w:ascii="Calibri" w:hAnsi="Calibri" w:cs="Arial"/>
          <w:i/>
          <w:color w:val="auto"/>
          <w:lang w:eastAsia="en-US"/>
        </w:rPr>
      </w:pPr>
      <w:hyperlink w:anchor="Contents" w:history="1">
        <w:r w:rsidRPr="00590902">
          <w:rPr>
            <w:rStyle w:val="Hyperlink"/>
            <w:rFonts w:ascii="Calibri" w:hAnsi="Calibri" w:cs="Arial"/>
            <w:i/>
          </w:rPr>
          <w:t>Back to Table of Contents</w:t>
        </w:r>
      </w:hyperlink>
    </w:p>
    <w:p w14:paraId="19122BDB" w14:textId="77777777" w:rsidR="007A494D" w:rsidRDefault="007A494D" w:rsidP="007A494D">
      <w:pPr>
        <w:pStyle w:val="ProcedureTemplateinternalheadings"/>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A494D" w:rsidRPr="00CD1C0E" w14:paraId="6B6672C8" w14:textId="77777777" w:rsidTr="0081235F">
        <w:trPr>
          <w:cantSplit/>
          <w:trHeight w:val="285"/>
        </w:trPr>
        <w:tc>
          <w:tcPr>
            <w:tcW w:w="9158" w:type="dxa"/>
            <w:shd w:val="clear" w:color="auto" w:fill="A6A6A6" w:themeFill="background1" w:themeFillShade="A6"/>
          </w:tcPr>
          <w:p w14:paraId="69292B13" w14:textId="77777777" w:rsidR="007A494D" w:rsidRPr="00CD1C0E" w:rsidRDefault="007A494D" w:rsidP="0081235F">
            <w:pPr>
              <w:pStyle w:val="Heading1"/>
            </w:pPr>
            <w:bookmarkStart w:id="47" w:name="_Toc389473285"/>
            <w:bookmarkStart w:id="48" w:name="_Toc509388193"/>
            <w:r>
              <w:t>Implementation</w:t>
            </w:r>
            <w:bookmarkEnd w:id="47"/>
            <w:bookmarkEnd w:id="48"/>
            <w:r>
              <w:t xml:space="preserve"> </w:t>
            </w:r>
          </w:p>
        </w:tc>
      </w:tr>
    </w:tbl>
    <w:p w14:paraId="544E5EA9" w14:textId="77777777" w:rsidR="007A494D" w:rsidRDefault="007A494D" w:rsidP="007A494D">
      <w:pPr>
        <w:pStyle w:val="Default"/>
        <w:rPr>
          <w:rFonts w:ascii="Calibri" w:hAnsi="Calibri"/>
        </w:rPr>
      </w:pPr>
    </w:p>
    <w:p w14:paraId="5D926AE9" w14:textId="77777777" w:rsidR="007A494D" w:rsidRPr="004203A2" w:rsidRDefault="007A494D" w:rsidP="007A494D">
      <w:pPr>
        <w:rPr>
          <w:rFonts w:cs="Arial"/>
          <w:szCs w:val="24"/>
        </w:rPr>
      </w:pPr>
      <w:r w:rsidRPr="004203A2">
        <w:rPr>
          <w:rFonts w:cs="Arial"/>
          <w:szCs w:val="24"/>
        </w:rPr>
        <w:t xml:space="preserve">This procedure will be made available to staff through the Policy </w:t>
      </w:r>
      <w:r>
        <w:rPr>
          <w:rFonts w:cs="Arial"/>
          <w:szCs w:val="24"/>
        </w:rPr>
        <w:t>register.</w:t>
      </w:r>
    </w:p>
    <w:p w14:paraId="551C4D9A" w14:textId="77777777" w:rsidR="007A494D" w:rsidRDefault="007A494D" w:rsidP="007A494D">
      <w:pPr>
        <w:pStyle w:val="Default"/>
        <w:jc w:val="right"/>
      </w:pPr>
    </w:p>
    <w:p w14:paraId="39D9E86F" w14:textId="77777777" w:rsidR="007A494D" w:rsidRPr="00AC7025" w:rsidRDefault="007A494D" w:rsidP="007A494D">
      <w:pPr>
        <w:pStyle w:val="Default"/>
        <w:jc w:val="right"/>
        <w:rPr>
          <w:rFonts w:ascii="Calibri" w:hAnsi="Calibri" w:cs="Arial"/>
          <w:i/>
          <w:color w:val="auto"/>
          <w:lang w:eastAsia="en-US"/>
        </w:rPr>
      </w:pPr>
      <w:hyperlink w:anchor="Contents" w:history="1">
        <w:r w:rsidRPr="00590902">
          <w:rPr>
            <w:rStyle w:val="Hyperlink"/>
            <w:rFonts w:ascii="Calibri" w:hAnsi="Calibri" w:cs="Arial"/>
            <w:i/>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A494D" w:rsidRPr="00CD1C0E" w14:paraId="38513F49" w14:textId="77777777" w:rsidTr="0081235F">
        <w:trPr>
          <w:cantSplit/>
          <w:trHeight w:val="285"/>
        </w:trPr>
        <w:tc>
          <w:tcPr>
            <w:tcW w:w="9158" w:type="dxa"/>
            <w:shd w:val="clear" w:color="auto" w:fill="A6A6A6" w:themeFill="background1" w:themeFillShade="A6"/>
          </w:tcPr>
          <w:p w14:paraId="77B6BBD8" w14:textId="77777777" w:rsidR="007A494D" w:rsidRPr="00CD1C0E" w:rsidRDefault="007A494D" w:rsidP="0081235F">
            <w:pPr>
              <w:pStyle w:val="Heading1"/>
            </w:pPr>
            <w:bookmarkStart w:id="49" w:name="_Toc389473287"/>
            <w:bookmarkStart w:id="50" w:name="_Toc509388194"/>
            <w:r>
              <w:t>Related Policies, Procedures</w:t>
            </w:r>
            <w:bookmarkEnd w:id="49"/>
            <w:r>
              <w:t>, Guidelines and Legislation</w:t>
            </w:r>
            <w:bookmarkEnd w:id="50"/>
          </w:p>
        </w:tc>
      </w:tr>
    </w:tbl>
    <w:p w14:paraId="1FF5AA10" w14:textId="77777777" w:rsidR="007A494D" w:rsidRDefault="007A494D" w:rsidP="007A494D">
      <w:pPr>
        <w:rPr>
          <w:szCs w:val="24"/>
        </w:rPr>
      </w:pPr>
    </w:p>
    <w:p w14:paraId="2E89F9C9" w14:textId="77777777" w:rsidR="007A494D" w:rsidRPr="0095069E" w:rsidRDefault="007A494D" w:rsidP="007A494D">
      <w:pPr>
        <w:contextualSpacing/>
        <w:rPr>
          <w:rFonts w:asciiTheme="minorHAnsi" w:hAnsiTheme="minorHAnsi" w:cs="Calibri"/>
          <w:b/>
          <w:bCs/>
          <w:iCs/>
          <w:szCs w:val="24"/>
        </w:rPr>
      </w:pPr>
      <w:r w:rsidRPr="0095069E">
        <w:rPr>
          <w:rFonts w:asciiTheme="minorHAnsi" w:hAnsiTheme="minorHAnsi" w:cs="Calibri"/>
          <w:b/>
          <w:bCs/>
          <w:iCs/>
          <w:szCs w:val="24"/>
        </w:rPr>
        <w:t xml:space="preserve">Legislation </w:t>
      </w:r>
    </w:p>
    <w:p w14:paraId="7E4062EA" w14:textId="77777777" w:rsidR="007A494D" w:rsidRPr="00DA2D14" w:rsidRDefault="007A494D" w:rsidP="007A494D">
      <w:pPr>
        <w:pStyle w:val="ListBullet"/>
      </w:pPr>
      <w:r w:rsidRPr="00BF4866">
        <w:rPr>
          <w:i/>
        </w:rPr>
        <w:t xml:space="preserve">Work Health and Safety Act </w:t>
      </w:r>
      <w:r w:rsidRPr="00FA42A5">
        <w:t>2011</w:t>
      </w:r>
      <w:r>
        <w:rPr>
          <w:i/>
        </w:rPr>
        <w:t xml:space="preserve"> </w:t>
      </w:r>
    </w:p>
    <w:p w14:paraId="071FB57B" w14:textId="77777777" w:rsidR="007A494D" w:rsidRDefault="007A494D" w:rsidP="007A494D">
      <w:pPr>
        <w:pStyle w:val="ListBullet"/>
      </w:pPr>
      <w:r w:rsidRPr="00FA42A5">
        <w:rPr>
          <w:i/>
        </w:rPr>
        <w:t>Discrimination Act</w:t>
      </w:r>
      <w:r w:rsidRPr="00DA2D14">
        <w:t xml:space="preserve"> 1991 (ACT) </w:t>
      </w:r>
    </w:p>
    <w:p w14:paraId="6681D692" w14:textId="77777777" w:rsidR="007A494D" w:rsidRPr="00BF4866" w:rsidRDefault="007A494D" w:rsidP="007A494D">
      <w:pPr>
        <w:pStyle w:val="ListBullet"/>
        <w:rPr>
          <w:i/>
        </w:rPr>
      </w:pPr>
      <w:r w:rsidRPr="00BF4866">
        <w:rPr>
          <w:i/>
        </w:rPr>
        <w:t>Human Rights A</w:t>
      </w:r>
      <w:r>
        <w:rPr>
          <w:i/>
        </w:rPr>
        <w:t>c</w:t>
      </w:r>
      <w:r w:rsidRPr="00BF4866">
        <w:rPr>
          <w:i/>
        </w:rPr>
        <w:t>t 2004</w:t>
      </w:r>
    </w:p>
    <w:p w14:paraId="1E11834C" w14:textId="77777777" w:rsidR="007A494D" w:rsidRDefault="007A494D" w:rsidP="007A494D">
      <w:pPr>
        <w:pStyle w:val="ListBullet"/>
      </w:pPr>
      <w:r w:rsidRPr="00FA42A5">
        <w:rPr>
          <w:i/>
        </w:rPr>
        <w:t>Australian Charter of Health Care Rights</w:t>
      </w:r>
      <w:r w:rsidRPr="00DA2D14">
        <w:t xml:space="preserve"> </w:t>
      </w:r>
      <w:hyperlink r:id="rId16" w:history="1">
        <w:r w:rsidRPr="00626B62">
          <w:rPr>
            <w:rStyle w:val="Hyperlink"/>
          </w:rPr>
          <w:t>https://www.safetyandquality.gov.au/wp-content/uploads/2012/01/Charter-PDf.pdf</w:t>
        </w:r>
      </w:hyperlink>
    </w:p>
    <w:p w14:paraId="20E6AF70" w14:textId="77777777" w:rsidR="007A494D" w:rsidRDefault="007A494D" w:rsidP="007A494D">
      <w:pPr>
        <w:contextualSpacing/>
        <w:rPr>
          <w:rFonts w:asciiTheme="minorHAnsi" w:hAnsiTheme="minorHAnsi" w:cs="Calibri"/>
          <w:szCs w:val="24"/>
        </w:rPr>
      </w:pPr>
    </w:p>
    <w:p w14:paraId="4CE51156" w14:textId="77777777" w:rsidR="007A494D" w:rsidRPr="0095069E" w:rsidRDefault="007A494D" w:rsidP="007A494D">
      <w:pPr>
        <w:contextualSpacing/>
        <w:rPr>
          <w:rFonts w:asciiTheme="minorHAnsi" w:hAnsiTheme="minorHAnsi" w:cs="Calibri"/>
          <w:b/>
          <w:szCs w:val="24"/>
        </w:rPr>
      </w:pPr>
      <w:r w:rsidRPr="0095069E">
        <w:rPr>
          <w:rFonts w:asciiTheme="minorHAnsi" w:hAnsiTheme="minorHAnsi" w:cs="Calibri"/>
          <w:b/>
          <w:szCs w:val="24"/>
        </w:rPr>
        <w:t xml:space="preserve">ACT Health Policies and Procedures </w:t>
      </w:r>
    </w:p>
    <w:p w14:paraId="0AD6EC2F" w14:textId="77777777" w:rsidR="007A494D" w:rsidRPr="00DA2D14" w:rsidRDefault="007A494D" w:rsidP="007A494D">
      <w:pPr>
        <w:pStyle w:val="ListBullet"/>
      </w:pPr>
      <w:r>
        <w:t>ACT Health Work Health and Safety Policy</w:t>
      </w:r>
      <w:r w:rsidRPr="00DA2D14">
        <w:t xml:space="preserve"> </w:t>
      </w:r>
    </w:p>
    <w:p w14:paraId="722F75AD" w14:textId="77777777" w:rsidR="007A494D" w:rsidRDefault="007A494D" w:rsidP="007A494D">
      <w:pPr>
        <w:pStyle w:val="ListBullet"/>
      </w:pPr>
      <w:r>
        <w:t xml:space="preserve">ACT Health </w:t>
      </w:r>
      <w:r w:rsidRPr="00DA2D14">
        <w:t>Work Health and Safety Management System (WHSMS)</w:t>
      </w:r>
    </w:p>
    <w:p w14:paraId="21C26D4E" w14:textId="77777777" w:rsidR="007A494D" w:rsidRDefault="007A494D" w:rsidP="007A494D">
      <w:pPr>
        <w:pStyle w:val="ListBullet"/>
      </w:pPr>
      <w:r>
        <w:t>ACT Health Electrical Safety Policy</w:t>
      </w:r>
    </w:p>
    <w:p w14:paraId="3AE7FBC3" w14:textId="77777777" w:rsidR="007A494D" w:rsidRPr="00DA2D14" w:rsidRDefault="007A494D" w:rsidP="007A494D">
      <w:pPr>
        <w:pStyle w:val="ListBullet"/>
      </w:pPr>
      <w:r>
        <w:t>CHHS Clinical Procedure-</w:t>
      </w:r>
      <w:r w:rsidRPr="00DA2D14">
        <w:t>Pressure Injury Prevention and Management</w:t>
      </w:r>
      <w:r>
        <w:t xml:space="preserve"> </w:t>
      </w:r>
    </w:p>
    <w:p w14:paraId="70B24B0B" w14:textId="77777777" w:rsidR="007A494D" w:rsidRDefault="007A494D" w:rsidP="007A494D">
      <w:pPr>
        <w:pStyle w:val="ListBullet"/>
      </w:pPr>
      <w:r>
        <w:t>CHHS Clinical Guideline- Obesity – Pregnancy Labour Birth and Postnatal Care</w:t>
      </w:r>
    </w:p>
    <w:p w14:paraId="02F5D1B9" w14:textId="77777777" w:rsidR="007A494D" w:rsidRPr="001F4CA6" w:rsidRDefault="007A494D" w:rsidP="007A494D">
      <w:pPr>
        <w:pStyle w:val="ListBullet"/>
        <w:rPr>
          <w:rFonts w:cstheme="minorHAnsi"/>
        </w:rPr>
      </w:pPr>
      <w:r>
        <w:t>CHHS Operational Procedure-Home Visiting</w:t>
      </w:r>
    </w:p>
    <w:p w14:paraId="2B7B48E7" w14:textId="77777777" w:rsidR="007A494D" w:rsidRPr="001F4CA6" w:rsidRDefault="007A494D" w:rsidP="007A494D">
      <w:pPr>
        <w:pStyle w:val="ListBullet"/>
        <w:rPr>
          <w:i/>
        </w:rPr>
      </w:pPr>
      <w:r w:rsidRPr="00EF02B0">
        <w:t>CH</w:t>
      </w:r>
      <w:r>
        <w:t>HS Operational</w:t>
      </w:r>
      <w:r w:rsidRPr="001F4CA6">
        <w:rPr>
          <w:i/>
        </w:rPr>
        <w:t xml:space="preserve"> </w:t>
      </w:r>
      <w:r w:rsidRPr="00EF02B0">
        <w:t>Procedure</w:t>
      </w:r>
      <w:r>
        <w:t xml:space="preserve"> - ACT Equipment Loan Service</w:t>
      </w:r>
    </w:p>
    <w:p w14:paraId="33A87D38" w14:textId="77777777" w:rsidR="007A494D" w:rsidRDefault="007A494D" w:rsidP="007A494D">
      <w:pPr>
        <w:pStyle w:val="ListBullet"/>
        <w:rPr>
          <w:b/>
        </w:rPr>
      </w:pPr>
      <w:r>
        <w:t>CHHS Clinical Procedure-</w:t>
      </w:r>
      <w:r w:rsidRPr="00DA2D14">
        <w:t xml:space="preserve">Wound Management  </w:t>
      </w:r>
    </w:p>
    <w:p w14:paraId="61D899C5" w14:textId="77777777" w:rsidR="007A494D" w:rsidRPr="00BF4866" w:rsidRDefault="007A494D" w:rsidP="007A494D">
      <w:pPr>
        <w:pStyle w:val="ListBullet"/>
        <w:rPr>
          <w:b/>
        </w:rPr>
      </w:pPr>
      <w:r>
        <w:t xml:space="preserve">CHHS Operational Procedure-When Death Occurs </w:t>
      </w:r>
    </w:p>
    <w:p w14:paraId="4D8FFEE5" w14:textId="77777777" w:rsidR="007A494D" w:rsidRDefault="007A494D" w:rsidP="007A494D">
      <w:pPr>
        <w:pStyle w:val="ListParagraph"/>
        <w:jc w:val="right"/>
      </w:pPr>
    </w:p>
    <w:p w14:paraId="28327959" w14:textId="77777777" w:rsidR="007A494D" w:rsidRDefault="007A494D" w:rsidP="007A494D">
      <w:pPr>
        <w:pStyle w:val="ListParagraph"/>
        <w:jc w:val="right"/>
        <w:rPr>
          <w:szCs w:val="24"/>
        </w:rPr>
      </w:pPr>
      <w:hyperlink w:anchor="Contents" w:history="1">
        <w:r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A494D" w:rsidRPr="00CD1C0E" w14:paraId="70621E04" w14:textId="77777777" w:rsidTr="0081235F">
        <w:trPr>
          <w:cantSplit/>
          <w:trHeight w:val="285"/>
        </w:trPr>
        <w:tc>
          <w:tcPr>
            <w:tcW w:w="9158" w:type="dxa"/>
            <w:shd w:val="clear" w:color="auto" w:fill="A6A6A6" w:themeFill="background1" w:themeFillShade="A6"/>
          </w:tcPr>
          <w:p w14:paraId="33662339" w14:textId="77777777" w:rsidR="007A494D" w:rsidRPr="00CD1C0E" w:rsidRDefault="007A494D" w:rsidP="0081235F">
            <w:pPr>
              <w:pStyle w:val="Heading1"/>
            </w:pPr>
            <w:bookmarkStart w:id="51" w:name="_Toc389473288"/>
            <w:bookmarkStart w:id="52" w:name="_Toc509388195"/>
            <w:r>
              <w:t>References</w:t>
            </w:r>
            <w:bookmarkEnd w:id="51"/>
            <w:bookmarkEnd w:id="52"/>
          </w:p>
        </w:tc>
      </w:tr>
    </w:tbl>
    <w:p w14:paraId="7F267743" w14:textId="77777777" w:rsidR="007A494D" w:rsidRPr="00DE4E25" w:rsidRDefault="007A494D" w:rsidP="007A494D">
      <w:pPr>
        <w:rPr>
          <w:rFonts w:asciiTheme="majorHAnsi" w:hAnsiTheme="majorHAnsi" w:cstheme="majorHAnsi"/>
          <w:szCs w:val="24"/>
        </w:rPr>
      </w:pPr>
      <w:bookmarkStart w:id="53" w:name="_Toc389131245"/>
    </w:p>
    <w:bookmarkEnd w:id="53"/>
    <w:p w14:paraId="01BA3044" w14:textId="77777777" w:rsidR="007A494D" w:rsidRPr="00DA2D14" w:rsidRDefault="007A494D" w:rsidP="007A494D">
      <w:pPr>
        <w:pStyle w:val="ListParagraph"/>
        <w:numPr>
          <w:ilvl w:val="0"/>
          <w:numId w:val="26"/>
        </w:numPr>
        <w:ind w:left="426" w:hanging="426"/>
        <w:rPr>
          <w:rFonts w:asciiTheme="minorHAnsi" w:hAnsiTheme="minorHAnsi" w:cs="Calibri"/>
          <w:bCs/>
          <w:szCs w:val="24"/>
        </w:rPr>
      </w:pPr>
      <w:r w:rsidRPr="00DA2D14">
        <w:rPr>
          <w:rFonts w:asciiTheme="minorHAnsi" w:hAnsiTheme="minorHAnsi" w:cs="Calibri"/>
          <w:szCs w:val="24"/>
        </w:rPr>
        <w:t xml:space="preserve">National Health and Medical Research Council (2013) </w:t>
      </w:r>
      <w:hyperlink r:id="rId17" w:history="1">
        <w:r w:rsidRPr="00DA2D14">
          <w:rPr>
            <w:rStyle w:val="Hyperlink"/>
            <w:rFonts w:asciiTheme="minorHAnsi" w:hAnsiTheme="minorHAnsi"/>
            <w:szCs w:val="24"/>
          </w:rPr>
          <w:t>Clinical Practice Guidelines for the Management of Overweight and Obesity for Adults, Adolescents and Children in Australia</w:t>
        </w:r>
      </w:hyperlink>
      <w:r w:rsidRPr="00DA2D14">
        <w:rPr>
          <w:rFonts w:asciiTheme="minorHAnsi" w:hAnsiTheme="minorHAnsi"/>
          <w:szCs w:val="24"/>
        </w:rPr>
        <w:t>.</w:t>
      </w:r>
    </w:p>
    <w:p w14:paraId="5EDA5BF8" w14:textId="77777777" w:rsidR="007A494D" w:rsidRPr="004203A2" w:rsidRDefault="007A494D" w:rsidP="007A494D">
      <w:pPr>
        <w:pStyle w:val="ListParagraph"/>
        <w:numPr>
          <w:ilvl w:val="0"/>
          <w:numId w:val="26"/>
        </w:numPr>
        <w:ind w:left="425" w:hanging="425"/>
        <w:rPr>
          <w:rFonts w:asciiTheme="minorHAnsi" w:hAnsiTheme="minorHAnsi" w:cs="Calibri"/>
          <w:szCs w:val="24"/>
        </w:rPr>
      </w:pPr>
      <w:r>
        <w:t xml:space="preserve">NICE Obesity: Guidance on the prevention, identification, assessment and management of overweight and obesity in adults and children. Issued: December 2006 (last modified: January 2010) </w:t>
      </w:r>
      <w:hyperlink r:id="rId18" w:anchor="clinical-recommendations" w:history="1">
        <w:r w:rsidRPr="00626B62">
          <w:rPr>
            <w:rStyle w:val="Hyperlink"/>
          </w:rPr>
          <w:t>http://publications.nice.org.uk/obesity-cg43/guidance#clinical-recommendations</w:t>
        </w:r>
      </w:hyperlink>
    </w:p>
    <w:p w14:paraId="7A072CEF" w14:textId="77777777" w:rsidR="007A494D" w:rsidRPr="00DA2D14" w:rsidRDefault="007A494D" w:rsidP="007A494D">
      <w:pPr>
        <w:pStyle w:val="ListParagraph"/>
        <w:numPr>
          <w:ilvl w:val="0"/>
          <w:numId w:val="26"/>
        </w:numPr>
        <w:ind w:left="426" w:hanging="426"/>
        <w:rPr>
          <w:rFonts w:asciiTheme="minorHAnsi" w:hAnsiTheme="minorHAnsi" w:cs="Calibri"/>
          <w:szCs w:val="24"/>
        </w:rPr>
      </w:pPr>
      <w:r w:rsidRPr="00DA2D14">
        <w:rPr>
          <w:rFonts w:asciiTheme="minorHAnsi" w:hAnsiTheme="minorHAnsi" w:cs="Calibri"/>
          <w:szCs w:val="24"/>
        </w:rPr>
        <w:t>World Health Organisation. Obesity: preventing and managing the global epidemic. Report to WHO Tech Rep Ser 2000; 894(3):i-xi, 1-253</w:t>
      </w:r>
    </w:p>
    <w:p w14:paraId="0053B6A1" w14:textId="77777777" w:rsidR="007A494D" w:rsidRPr="00DA2D14" w:rsidRDefault="007A494D" w:rsidP="007A494D">
      <w:pPr>
        <w:pStyle w:val="ListParagraph"/>
        <w:numPr>
          <w:ilvl w:val="0"/>
          <w:numId w:val="26"/>
        </w:numPr>
        <w:ind w:left="425" w:hanging="425"/>
        <w:rPr>
          <w:rFonts w:asciiTheme="minorHAnsi" w:hAnsiTheme="minorHAnsi" w:cs="Calibri"/>
          <w:szCs w:val="24"/>
        </w:rPr>
      </w:pPr>
      <w:r w:rsidRPr="00DA2D14">
        <w:rPr>
          <w:rFonts w:asciiTheme="minorHAnsi" w:hAnsiTheme="minorHAnsi" w:cs="Calibri"/>
          <w:szCs w:val="24"/>
        </w:rPr>
        <w:t>NSW Health: Guideline. Occupational Health &amp; Safety Issues Associated with Management bariatric (severely obese) patients.</w:t>
      </w:r>
      <w:r>
        <w:rPr>
          <w:rFonts w:asciiTheme="minorHAnsi" w:hAnsiTheme="minorHAnsi" w:cs="Calibri"/>
          <w:szCs w:val="24"/>
        </w:rPr>
        <w:t xml:space="preserve"> </w:t>
      </w:r>
      <w:r w:rsidRPr="00DA2D14">
        <w:rPr>
          <w:rFonts w:asciiTheme="minorHAnsi" w:hAnsiTheme="minorHAnsi" w:cs="Calibri"/>
          <w:szCs w:val="24"/>
        </w:rPr>
        <w:t>2005 Document number GL2005_070</w:t>
      </w:r>
    </w:p>
    <w:p w14:paraId="2691DDE3" w14:textId="77777777" w:rsidR="007A494D" w:rsidRPr="00DA2D14" w:rsidRDefault="007A494D" w:rsidP="007A494D">
      <w:pPr>
        <w:pStyle w:val="ListParagraph"/>
        <w:numPr>
          <w:ilvl w:val="0"/>
          <w:numId w:val="26"/>
        </w:numPr>
        <w:ind w:left="425" w:hanging="425"/>
        <w:rPr>
          <w:rFonts w:asciiTheme="minorHAnsi" w:hAnsiTheme="minorHAnsi" w:cs="Calibri"/>
          <w:szCs w:val="24"/>
        </w:rPr>
      </w:pPr>
      <w:r w:rsidRPr="00DA2D14">
        <w:rPr>
          <w:rFonts w:asciiTheme="minorHAnsi" w:hAnsiTheme="minorHAnsi" w:cs="Calibri"/>
          <w:szCs w:val="24"/>
        </w:rPr>
        <w:t>Hignett et al 2007. Risk assessment and process planning for bariatric patients handling pathways. Prepared by Loughborough University for the Health and Safety Executive. UK Gov.</w:t>
      </w:r>
      <w:r>
        <w:rPr>
          <w:rFonts w:asciiTheme="minorHAnsi" w:hAnsiTheme="minorHAnsi" w:cs="Calibri"/>
          <w:szCs w:val="24"/>
        </w:rPr>
        <w:t xml:space="preserve"> </w:t>
      </w:r>
      <w:r w:rsidRPr="00DA2D14">
        <w:rPr>
          <w:rFonts w:asciiTheme="minorHAnsi" w:hAnsiTheme="minorHAnsi" w:cs="Calibri"/>
          <w:szCs w:val="24"/>
        </w:rPr>
        <w:t xml:space="preserve">RR573 Research Report. </w:t>
      </w:r>
    </w:p>
    <w:p w14:paraId="44FA0510" w14:textId="77777777" w:rsidR="007A494D" w:rsidRDefault="007A494D" w:rsidP="007A494D">
      <w:pPr>
        <w:pStyle w:val="ListParagraph"/>
        <w:numPr>
          <w:ilvl w:val="0"/>
          <w:numId w:val="26"/>
        </w:numPr>
        <w:ind w:left="425" w:hanging="425"/>
        <w:rPr>
          <w:rFonts w:asciiTheme="minorHAnsi" w:hAnsiTheme="minorHAnsi" w:cs="Calibri"/>
          <w:szCs w:val="24"/>
        </w:rPr>
      </w:pPr>
      <w:r w:rsidRPr="00DA2D14">
        <w:rPr>
          <w:rFonts w:asciiTheme="minorHAnsi" w:hAnsiTheme="minorHAnsi" w:cs="Calibri"/>
          <w:szCs w:val="24"/>
        </w:rPr>
        <w:t xml:space="preserve">NHS 2009 Bariatric patient policy. Ashford &amp; St Peter’s Hospital NHS Trust. </w:t>
      </w:r>
    </w:p>
    <w:p w14:paraId="46A1167F" w14:textId="77777777" w:rsidR="007A494D" w:rsidRPr="00BF4866" w:rsidRDefault="007A494D" w:rsidP="007A494D">
      <w:pPr>
        <w:pStyle w:val="ListParagraph"/>
        <w:numPr>
          <w:ilvl w:val="0"/>
          <w:numId w:val="26"/>
        </w:numPr>
        <w:ind w:left="425" w:hanging="425"/>
        <w:rPr>
          <w:rStyle w:val="Hyperlink"/>
          <w:rFonts w:asciiTheme="minorHAnsi" w:hAnsiTheme="minorHAnsi" w:cs="Calibri"/>
          <w:color w:val="auto"/>
          <w:szCs w:val="24"/>
          <w:u w:val="none"/>
        </w:rPr>
      </w:pPr>
      <w:r>
        <w:t xml:space="preserve">National Institute for Health and Clinical Excellence (2006). Obesity Guideline 43. Guidance on the prevention, identification, assessment and management of overweight and obesity in adults and children. NHS ISBN 1-84629-320-0 </w:t>
      </w:r>
      <w:hyperlink r:id="rId19" w:history="1">
        <w:r w:rsidRPr="00626B62">
          <w:rPr>
            <w:rStyle w:val="Hyperlink"/>
          </w:rPr>
          <w:t>http://www.nice.org.uk</w:t>
        </w:r>
      </w:hyperlink>
    </w:p>
    <w:p w14:paraId="2CE8DE41" w14:textId="77777777" w:rsidR="007A494D" w:rsidRPr="00BF4866" w:rsidRDefault="007A494D" w:rsidP="007A494D">
      <w:pPr>
        <w:pStyle w:val="ListParagraph"/>
        <w:numPr>
          <w:ilvl w:val="0"/>
          <w:numId w:val="26"/>
        </w:numPr>
        <w:ind w:left="425" w:hanging="425"/>
        <w:rPr>
          <w:rFonts w:asciiTheme="minorHAnsi" w:hAnsiTheme="minorHAnsi" w:cs="Calibri"/>
          <w:szCs w:val="24"/>
        </w:rPr>
      </w:pPr>
      <w:r>
        <w:t>Best Weight. A Practical Guide to Office-based Obesity Management (2010); Freedhoff Y &amp; Sharma A. Published by Canadian Obesity Network, ISBN#978-0-9865889-0-7.</w:t>
      </w:r>
    </w:p>
    <w:p w14:paraId="7CA32E77" w14:textId="77777777" w:rsidR="007A494D" w:rsidRDefault="007A494D" w:rsidP="007A494D">
      <w:pPr>
        <w:jc w:val="right"/>
      </w:pPr>
    </w:p>
    <w:p w14:paraId="1B3A76AE" w14:textId="77777777" w:rsidR="007A494D" w:rsidRDefault="007A494D" w:rsidP="007A494D">
      <w:pPr>
        <w:jc w:val="right"/>
      </w:pPr>
      <w:hyperlink w:anchor="Contents" w:history="1">
        <w:r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A494D" w:rsidRPr="000F1F60" w14:paraId="5063260E" w14:textId="77777777" w:rsidTr="0081235F">
        <w:trPr>
          <w:cantSplit/>
          <w:trHeight w:val="285"/>
        </w:trPr>
        <w:tc>
          <w:tcPr>
            <w:tcW w:w="9158" w:type="dxa"/>
            <w:shd w:val="clear" w:color="auto" w:fill="A6A6A6" w:themeFill="background1" w:themeFillShade="A6"/>
          </w:tcPr>
          <w:p w14:paraId="2CE7B6F8" w14:textId="77777777" w:rsidR="007A494D" w:rsidRPr="000F1F60" w:rsidRDefault="007A494D" w:rsidP="0081235F">
            <w:pPr>
              <w:pStyle w:val="Heading1"/>
            </w:pPr>
            <w:bookmarkStart w:id="54" w:name="_Toc509388196"/>
            <w:r>
              <w:t>Definition of Terms</w:t>
            </w:r>
            <w:bookmarkEnd w:id="54"/>
          </w:p>
        </w:tc>
      </w:tr>
    </w:tbl>
    <w:p w14:paraId="06B7B863" w14:textId="77777777" w:rsidR="007A494D" w:rsidRDefault="007A494D" w:rsidP="007A494D">
      <w:pPr>
        <w:rPr>
          <w:rFonts w:cs="Arial"/>
          <w:szCs w:val="24"/>
        </w:rPr>
      </w:pPr>
    </w:p>
    <w:p w14:paraId="51296483" w14:textId="77777777" w:rsidR="007A494D" w:rsidRPr="00347310" w:rsidRDefault="007A494D" w:rsidP="007A494D">
      <w:pPr>
        <w:rPr>
          <w:rFonts w:cs="Calibri"/>
          <w:szCs w:val="24"/>
        </w:rPr>
      </w:pPr>
      <w:r w:rsidRPr="00347310">
        <w:rPr>
          <w:rFonts w:cs="Calibri"/>
          <w:b/>
          <w:szCs w:val="24"/>
        </w:rPr>
        <w:t>Bariatric</w:t>
      </w:r>
      <w:r w:rsidRPr="00347310">
        <w:rPr>
          <w:rFonts w:cs="Calibri"/>
          <w:szCs w:val="24"/>
        </w:rPr>
        <w:t xml:space="preserve"> –</w:t>
      </w:r>
      <w:r>
        <w:rPr>
          <w:rFonts w:cs="Calibri"/>
          <w:szCs w:val="24"/>
        </w:rPr>
        <w:t xml:space="preserve"> </w:t>
      </w:r>
      <w:r w:rsidRPr="00347310">
        <w:rPr>
          <w:rFonts w:cs="Calibri"/>
          <w:szCs w:val="24"/>
        </w:rPr>
        <w:t>can be defined as anyone who has limitations in their health care due to their physical size</w:t>
      </w:r>
      <w:r w:rsidRPr="00347310">
        <w:rPr>
          <w:rFonts w:cs="Calibri"/>
          <w:szCs w:val="24"/>
          <w:vertAlign w:val="superscript"/>
        </w:rPr>
        <w:t>3</w:t>
      </w:r>
      <w:r w:rsidRPr="00347310">
        <w:rPr>
          <w:rFonts w:cs="Calibri"/>
          <w:szCs w:val="24"/>
        </w:rPr>
        <w:t xml:space="preserve">. </w:t>
      </w:r>
    </w:p>
    <w:p w14:paraId="3C01D86C" w14:textId="77777777" w:rsidR="007A494D" w:rsidRDefault="007A494D" w:rsidP="007A494D">
      <w:pPr>
        <w:rPr>
          <w:rFonts w:cs="Calibri"/>
          <w:szCs w:val="24"/>
          <w:lang w:eastAsia="en-AU"/>
        </w:rPr>
      </w:pPr>
      <w:r w:rsidRPr="00347310">
        <w:rPr>
          <w:rFonts w:cs="Calibri"/>
          <w:b/>
          <w:szCs w:val="24"/>
          <w:lang w:eastAsia="en-AU"/>
        </w:rPr>
        <w:t>Bariatric equipment</w:t>
      </w:r>
      <w:r w:rsidRPr="00347310">
        <w:rPr>
          <w:rFonts w:cs="Calibri"/>
          <w:szCs w:val="24"/>
          <w:lang w:eastAsia="en-AU"/>
        </w:rPr>
        <w:t xml:space="preserve"> – is reinforced equipment used when a patient’s weight exceeds</w:t>
      </w:r>
      <w:r>
        <w:rPr>
          <w:rFonts w:cs="Calibri"/>
          <w:szCs w:val="24"/>
          <w:lang w:eastAsia="en-AU"/>
        </w:rPr>
        <w:t xml:space="preserve"> the safe working load limit (SW</w:t>
      </w:r>
      <w:r w:rsidRPr="00347310">
        <w:rPr>
          <w:rFonts w:cs="Calibri"/>
          <w:szCs w:val="24"/>
          <w:lang w:eastAsia="en-AU"/>
        </w:rPr>
        <w:t>L) and dimensions of the support surface of standard items</w:t>
      </w:r>
      <w:r>
        <w:rPr>
          <w:rFonts w:cs="Calibri"/>
          <w:szCs w:val="24"/>
          <w:lang w:eastAsia="en-AU"/>
        </w:rPr>
        <w:t>,</w:t>
      </w:r>
      <w:r w:rsidRPr="00347310">
        <w:rPr>
          <w:rFonts w:cs="Calibri"/>
          <w:szCs w:val="24"/>
          <w:lang w:eastAsia="en-AU"/>
        </w:rPr>
        <w:t xml:space="preserve"> such as a </w:t>
      </w:r>
      <w:r>
        <w:rPr>
          <w:rFonts w:cs="Calibri"/>
          <w:szCs w:val="24"/>
          <w:lang w:eastAsia="en-AU"/>
        </w:rPr>
        <w:t>bed, chair, wheelchair, couch, t</w:t>
      </w:r>
      <w:r w:rsidRPr="00347310">
        <w:rPr>
          <w:rFonts w:cs="Calibri"/>
          <w:szCs w:val="24"/>
          <w:lang w:eastAsia="en-AU"/>
        </w:rPr>
        <w:t>rolley, toilet or mattress.</w:t>
      </w:r>
    </w:p>
    <w:p w14:paraId="2DD8711D" w14:textId="77777777" w:rsidR="007A494D" w:rsidRPr="00F117D5" w:rsidRDefault="007A494D" w:rsidP="007A494D">
      <w:pPr>
        <w:rPr>
          <w:rFonts w:cs="Arial"/>
          <w:szCs w:val="24"/>
        </w:rPr>
      </w:pPr>
      <w:r w:rsidRPr="00AC7FC6">
        <w:rPr>
          <w:rFonts w:cs="Arial"/>
          <w:b/>
          <w:szCs w:val="24"/>
        </w:rPr>
        <w:t>Body Mass Index (BMI)</w:t>
      </w:r>
      <w:r w:rsidRPr="00F117D5">
        <w:rPr>
          <w:rFonts w:cs="Arial"/>
          <w:szCs w:val="24"/>
        </w:rPr>
        <w:t xml:space="preserve"> – is a measure used to estimate body fat and associated health risks. It is based on a patients height and weight calculated as BMI= weight (kgs)/height (m</w:t>
      </w:r>
      <w:r w:rsidRPr="00F117D5">
        <w:rPr>
          <w:rFonts w:cs="Arial"/>
          <w:szCs w:val="24"/>
          <w:vertAlign w:val="superscript"/>
        </w:rPr>
        <w:t>2</w:t>
      </w:r>
      <w:r>
        <w:rPr>
          <w:rFonts w:cs="Arial"/>
          <w:szCs w:val="24"/>
        </w:rPr>
        <w:t xml:space="preserve">). </w:t>
      </w:r>
    </w:p>
    <w:p w14:paraId="6378431E" w14:textId="77777777" w:rsidR="007A494D" w:rsidRPr="00CB09B7" w:rsidRDefault="007A494D" w:rsidP="007A494D">
      <w:pPr>
        <w:rPr>
          <w:rFonts w:cs="Calibri"/>
          <w:szCs w:val="24"/>
          <w:lang w:eastAsia="en-AU"/>
        </w:rPr>
      </w:pPr>
      <w:r>
        <w:rPr>
          <w:rFonts w:cs="Calibri"/>
          <w:b/>
          <w:szCs w:val="24"/>
          <w:lang w:eastAsia="en-AU"/>
        </w:rPr>
        <w:t xml:space="preserve">Larger patient </w:t>
      </w:r>
      <w:r w:rsidRPr="00F117D5">
        <w:rPr>
          <w:rFonts w:cs="Arial"/>
          <w:szCs w:val="24"/>
        </w:rPr>
        <w:t>–</w:t>
      </w:r>
      <w:r>
        <w:rPr>
          <w:rFonts w:cs="Arial"/>
          <w:szCs w:val="24"/>
        </w:rPr>
        <w:t xml:space="preserve"> </w:t>
      </w:r>
      <w:r w:rsidRPr="00CB09B7">
        <w:t xml:space="preserve">are defined as those who weigh over 120kg and/or with a body mass index (BMI) of greater than or equal to 40. Noting that 120kg has only been chosen because </w:t>
      </w:r>
      <w:r w:rsidRPr="00CB09B7">
        <w:rPr>
          <w:u w:val="single"/>
        </w:rPr>
        <w:t>most</w:t>
      </w:r>
      <w:r w:rsidRPr="00CB09B7">
        <w:t xml:space="preserve"> standard equipment has a safe weight limit of 120kg.</w:t>
      </w:r>
      <w:r w:rsidRPr="0039659D">
        <w:t xml:space="preserve"> </w:t>
      </w:r>
    </w:p>
    <w:p w14:paraId="17B3D115" w14:textId="77777777" w:rsidR="007A494D" w:rsidRPr="00347310" w:rsidRDefault="007A494D" w:rsidP="007A494D">
      <w:pPr>
        <w:rPr>
          <w:rFonts w:cs="Calibri"/>
          <w:color w:val="000000"/>
          <w:szCs w:val="24"/>
          <w:lang w:eastAsia="en-AU"/>
        </w:rPr>
      </w:pPr>
      <w:r w:rsidRPr="00347310">
        <w:rPr>
          <w:rFonts w:cs="Calibri"/>
          <w:b/>
          <w:szCs w:val="24"/>
          <w:lang w:eastAsia="en-AU"/>
        </w:rPr>
        <w:t>Multidisciplinary</w:t>
      </w:r>
      <w:r w:rsidRPr="00347310">
        <w:rPr>
          <w:rFonts w:cs="Calibri"/>
          <w:szCs w:val="24"/>
          <w:lang w:eastAsia="en-AU"/>
        </w:rPr>
        <w:t xml:space="preserve"> </w:t>
      </w:r>
      <w:r>
        <w:rPr>
          <w:rFonts w:cs="Calibri"/>
          <w:szCs w:val="24"/>
          <w:lang w:eastAsia="en-AU"/>
        </w:rPr>
        <w:t>–</w:t>
      </w:r>
      <w:r w:rsidRPr="00347310">
        <w:rPr>
          <w:rFonts w:cs="Calibri"/>
          <w:szCs w:val="24"/>
          <w:lang w:eastAsia="en-AU"/>
        </w:rPr>
        <w:t xml:space="preserve"> can mean allied health, medical, nursing staff, wards services, work safety officers, community based services staff and manual handling educators.</w:t>
      </w:r>
    </w:p>
    <w:p w14:paraId="6868DDC8" w14:textId="77777777" w:rsidR="007A494D" w:rsidRDefault="007A494D" w:rsidP="007A494D">
      <w:pPr>
        <w:jc w:val="right"/>
      </w:pPr>
    </w:p>
    <w:p w14:paraId="1A11229E" w14:textId="77777777" w:rsidR="007A494D" w:rsidRDefault="007A494D" w:rsidP="007A494D">
      <w:pPr>
        <w:jc w:val="right"/>
        <w:rPr>
          <w:rFonts w:cs="Calibri,Bold"/>
          <w:bCs/>
          <w:i/>
          <w:szCs w:val="24"/>
          <w:lang w:eastAsia="en-AU"/>
        </w:rPr>
      </w:pPr>
      <w:hyperlink w:anchor="Contents" w:history="1">
        <w:r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A494D" w:rsidRPr="00CD1C0E" w14:paraId="59723233" w14:textId="77777777" w:rsidTr="0081235F">
        <w:trPr>
          <w:cantSplit/>
          <w:trHeight w:val="285"/>
        </w:trPr>
        <w:tc>
          <w:tcPr>
            <w:tcW w:w="9158" w:type="dxa"/>
            <w:shd w:val="clear" w:color="auto" w:fill="A6A6A6" w:themeFill="background1" w:themeFillShade="A6"/>
          </w:tcPr>
          <w:p w14:paraId="1E69BC86" w14:textId="77777777" w:rsidR="007A494D" w:rsidRPr="00CD1C0E" w:rsidRDefault="007A494D" w:rsidP="0081235F">
            <w:pPr>
              <w:pStyle w:val="Heading1"/>
            </w:pPr>
            <w:bookmarkStart w:id="55" w:name="_Toc389473290"/>
            <w:bookmarkStart w:id="56" w:name="_Toc509388197"/>
            <w:r>
              <w:t>Search Terms</w:t>
            </w:r>
            <w:bookmarkEnd w:id="55"/>
            <w:bookmarkEnd w:id="56"/>
            <w:r>
              <w:t xml:space="preserve"> </w:t>
            </w:r>
          </w:p>
        </w:tc>
      </w:tr>
    </w:tbl>
    <w:p w14:paraId="0CFCC059" w14:textId="77777777" w:rsidR="007A494D" w:rsidRDefault="007A494D" w:rsidP="007A494D">
      <w:pPr>
        <w:rPr>
          <w:rFonts w:cs="Calibri,Bold"/>
          <w:bCs/>
          <w:i/>
          <w:szCs w:val="24"/>
          <w:lang w:eastAsia="en-AU"/>
        </w:rPr>
      </w:pPr>
    </w:p>
    <w:p w14:paraId="576BC66F" w14:textId="77777777" w:rsidR="007A494D" w:rsidRDefault="007A494D" w:rsidP="007A494D">
      <w:pPr>
        <w:rPr>
          <w:lang w:eastAsia="en-AU"/>
        </w:rPr>
      </w:pPr>
      <w:r>
        <w:rPr>
          <w:lang w:eastAsia="en-AU"/>
        </w:rPr>
        <w:t>Bariatric, Equipment, Manual Handling, Obese, Obesity, Overweight, Transport, Weigh, Weight</w:t>
      </w:r>
    </w:p>
    <w:p w14:paraId="47843652" w14:textId="77777777" w:rsidR="007A494D" w:rsidRDefault="007A494D" w:rsidP="007A494D"/>
    <w:p w14:paraId="3CA07E17" w14:textId="77777777" w:rsidR="007A494D" w:rsidRPr="007149A2" w:rsidRDefault="007A494D" w:rsidP="007A494D">
      <w:pPr>
        <w:rPr>
          <w:rFonts w:cs="Arial"/>
          <w:i/>
          <w:iCs/>
          <w:sz w:val="22"/>
          <w:szCs w:val="22"/>
        </w:rPr>
      </w:pPr>
      <w:r w:rsidRPr="007149A2">
        <w:rPr>
          <w:rFonts w:cs="Arial"/>
          <w:b/>
          <w:sz w:val="22"/>
          <w:szCs w:val="22"/>
        </w:rPr>
        <w:t>Disclaimer</w:t>
      </w:r>
      <w:r w:rsidRPr="007149A2">
        <w:rPr>
          <w:rFonts w:cs="Arial"/>
          <w:sz w:val="22"/>
          <w:szCs w:val="22"/>
        </w:rPr>
        <w:t xml:space="preserve">: </w:t>
      </w:r>
      <w:r w:rsidRPr="007149A2">
        <w:rPr>
          <w:rFonts w:cs="Arial"/>
          <w:i/>
          <w:iCs/>
          <w:sz w:val="22"/>
          <w:szCs w:val="22"/>
        </w:rPr>
        <w:t>This document has been developed by ACT Health, Canberra Hospital and Health Services specifically for its own use.  Use of this document and any reliance on the information contained therein by any third party is at his or her own risk and Health Directorate assumes no responsibility whatsoever.</w:t>
      </w:r>
    </w:p>
    <w:p w14:paraId="74120AD9" w14:textId="77777777" w:rsidR="007A494D" w:rsidRPr="007149A2" w:rsidRDefault="007A494D" w:rsidP="007A494D">
      <w:pPr>
        <w:rPr>
          <w:rFonts w:cs="Arial"/>
          <w:i/>
          <w:iCs/>
          <w:sz w:val="22"/>
          <w:szCs w:val="22"/>
        </w:rPr>
      </w:pPr>
    </w:p>
    <w:p w14:paraId="73372682" w14:textId="77777777" w:rsidR="007A494D" w:rsidRPr="007149A2" w:rsidRDefault="007A494D" w:rsidP="007A494D">
      <w:pPr>
        <w:rPr>
          <w:rFonts w:cs="Arial"/>
          <w:i/>
          <w:iCs/>
          <w:sz w:val="22"/>
          <w:szCs w:val="22"/>
        </w:rPr>
      </w:pPr>
      <w:r w:rsidRPr="007149A2">
        <w:rPr>
          <w:rFonts w:cs="Arial"/>
          <w:i/>
          <w:iCs/>
          <w:sz w:val="22"/>
          <w:szCs w:val="22"/>
        </w:rPr>
        <w:t>Policy Team ONLY to complete the following:</w:t>
      </w:r>
    </w:p>
    <w:tbl>
      <w:tblPr>
        <w:tblStyle w:val="TableGrid"/>
        <w:tblW w:w="0" w:type="auto"/>
        <w:tblLook w:val="04A0" w:firstRow="1" w:lastRow="0" w:firstColumn="1" w:lastColumn="0" w:noHBand="0" w:noVBand="1"/>
      </w:tblPr>
      <w:tblGrid>
        <w:gridCol w:w="2265"/>
        <w:gridCol w:w="2265"/>
        <w:gridCol w:w="2265"/>
        <w:gridCol w:w="2265"/>
      </w:tblGrid>
      <w:tr w:rsidR="007A494D" w:rsidRPr="007149A2" w14:paraId="61B43031" w14:textId="77777777" w:rsidTr="0081235F">
        <w:tc>
          <w:tcPr>
            <w:tcW w:w="2265" w:type="dxa"/>
          </w:tcPr>
          <w:p w14:paraId="25CD36D9" w14:textId="77777777" w:rsidR="007A494D" w:rsidRPr="007149A2" w:rsidRDefault="007A494D" w:rsidP="0081235F">
            <w:pPr>
              <w:rPr>
                <w:i/>
                <w:sz w:val="22"/>
                <w:szCs w:val="22"/>
              </w:rPr>
            </w:pPr>
            <w:r w:rsidRPr="007149A2">
              <w:rPr>
                <w:i/>
                <w:sz w:val="22"/>
                <w:szCs w:val="22"/>
              </w:rPr>
              <w:t>Date Amended</w:t>
            </w:r>
          </w:p>
        </w:tc>
        <w:tc>
          <w:tcPr>
            <w:tcW w:w="2265" w:type="dxa"/>
          </w:tcPr>
          <w:p w14:paraId="4CBDF2C8" w14:textId="77777777" w:rsidR="007A494D" w:rsidRPr="007149A2" w:rsidRDefault="007A494D" w:rsidP="0081235F">
            <w:pPr>
              <w:rPr>
                <w:i/>
                <w:sz w:val="22"/>
                <w:szCs w:val="22"/>
              </w:rPr>
            </w:pPr>
            <w:r w:rsidRPr="007149A2">
              <w:rPr>
                <w:i/>
                <w:sz w:val="22"/>
                <w:szCs w:val="22"/>
              </w:rPr>
              <w:t>Section Amended</w:t>
            </w:r>
          </w:p>
        </w:tc>
        <w:tc>
          <w:tcPr>
            <w:tcW w:w="2265" w:type="dxa"/>
          </w:tcPr>
          <w:p w14:paraId="2E17B53B" w14:textId="77777777" w:rsidR="007A494D" w:rsidRPr="007149A2" w:rsidRDefault="007A494D" w:rsidP="0081235F">
            <w:pPr>
              <w:rPr>
                <w:i/>
                <w:sz w:val="22"/>
                <w:szCs w:val="22"/>
              </w:rPr>
            </w:pPr>
            <w:r w:rsidRPr="007149A2">
              <w:rPr>
                <w:i/>
                <w:sz w:val="22"/>
                <w:szCs w:val="22"/>
              </w:rPr>
              <w:t>Divisional Approval</w:t>
            </w:r>
          </w:p>
        </w:tc>
        <w:tc>
          <w:tcPr>
            <w:tcW w:w="2265" w:type="dxa"/>
          </w:tcPr>
          <w:p w14:paraId="5E90525A" w14:textId="77777777" w:rsidR="007A494D" w:rsidRPr="007149A2" w:rsidRDefault="007A494D" w:rsidP="0081235F">
            <w:pPr>
              <w:rPr>
                <w:i/>
                <w:sz w:val="22"/>
                <w:szCs w:val="22"/>
              </w:rPr>
            </w:pPr>
            <w:r w:rsidRPr="007149A2">
              <w:rPr>
                <w:i/>
                <w:sz w:val="22"/>
                <w:szCs w:val="22"/>
              </w:rPr>
              <w:t xml:space="preserve">Final Approval </w:t>
            </w:r>
          </w:p>
        </w:tc>
      </w:tr>
      <w:tr w:rsidR="007A494D" w:rsidRPr="007149A2" w14:paraId="1A9D664A" w14:textId="77777777" w:rsidTr="0081235F">
        <w:tc>
          <w:tcPr>
            <w:tcW w:w="2265" w:type="dxa"/>
          </w:tcPr>
          <w:p w14:paraId="58A9BE69" w14:textId="77777777" w:rsidR="007A494D" w:rsidRPr="007149A2" w:rsidRDefault="007A494D" w:rsidP="0081235F">
            <w:pPr>
              <w:rPr>
                <w:i/>
                <w:sz w:val="22"/>
                <w:szCs w:val="22"/>
              </w:rPr>
            </w:pPr>
            <w:r>
              <w:rPr>
                <w:i/>
                <w:sz w:val="22"/>
                <w:szCs w:val="22"/>
              </w:rPr>
              <w:t>14/03/2018</w:t>
            </w:r>
          </w:p>
        </w:tc>
        <w:tc>
          <w:tcPr>
            <w:tcW w:w="2265" w:type="dxa"/>
          </w:tcPr>
          <w:p w14:paraId="02FAB098" w14:textId="77777777" w:rsidR="007A494D" w:rsidRPr="007149A2" w:rsidRDefault="007A494D" w:rsidP="0081235F">
            <w:pPr>
              <w:rPr>
                <w:i/>
                <w:sz w:val="22"/>
                <w:szCs w:val="22"/>
              </w:rPr>
            </w:pPr>
            <w:r>
              <w:rPr>
                <w:i/>
                <w:sz w:val="22"/>
                <w:szCs w:val="22"/>
              </w:rPr>
              <w:t>Complete Review</w:t>
            </w:r>
          </w:p>
        </w:tc>
        <w:tc>
          <w:tcPr>
            <w:tcW w:w="2265" w:type="dxa"/>
          </w:tcPr>
          <w:p w14:paraId="665560A7" w14:textId="77777777" w:rsidR="007A494D" w:rsidRPr="007149A2" w:rsidRDefault="007A494D" w:rsidP="0081235F">
            <w:pPr>
              <w:rPr>
                <w:i/>
                <w:sz w:val="22"/>
                <w:szCs w:val="22"/>
              </w:rPr>
            </w:pPr>
            <w:r>
              <w:rPr>
                <w:i/>
                <w:sz w:val="22"/>
                <w:szCs w:val="22"/>
              </w:rPr>
              <w:t>Girish Tatulikar, ED Medicine</w:t>
            </w:r>
          </w:p>
        </w:tc>
        <w:tc>
          <w:tcPr>
            <w:tcW w:w="2265" w:type="dxa"/>
          </w:tcPr>
          <w:p w14:paraId="7469D1AA" w14:textId="77777777" w:rsidR="007A494D" w:rsidRPr="007149A2" w:rsidRDefault="007A494D" w:rsidP="0081235F">
            <w:pPr>
              <w:rPr>
                <w:i/>
                <w:sz w:val="22"/>
                <w:szCs w:val="22"/>
              </w:rPr>
            </w:pPr>
            <w:r>
              <w:rPr>
                <w:i/>
                <w:sz w:val="22"/>
                <w:szCs w:val="22"/>
              </w:rPr>
              <w:t>CHHS Policy Committee</w:t>
            </w:r>
          </w:p>
        </w:tc>
      </w:tr>
    </w:tbl>
    <w:p w14:paraId="6BB9BAB0" w14:textId="77777777" w:rsidR="007A494D" w:rsidRPr="007149A2" w:rsidRDefault="007A494D" w:rsidP="007A494D">
      <w:pPr>
        <w:rPr>
          <w:rFonts w:cs="Arial"/>
          <w:sz w:val="22"/>
          <w:szCs w:val="22"/>
        </w:rPr>
      </w:pPr>
    </w:p>
    <w:p w14:paraId="4F3BF596" w14:textId="77777777" w:rsidR="007A494D" w:rsidRPr="007149A2" w:rsidRDefault="007A494D" w:rsidP="007A494D">
      <w:pPr>
        <w:rPr>
          <w:rFonts w:cs="Arial"/>
          <w:i/>
          <w:sz w:val="22"/>
          <w:szCs w:val="22"/>
        </w:rPr>
      </w:pPr>
      <w:r w:rsidRPr="007149A2">
        <w:rPr>
          <w:rFonts w:cs="Arial"/>
          <w:i/>
          <w:sz w:val="22"/>
          <w:szCs w:val="22"/>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7A494D" w:rsidRPr="007149A2" w14:paraId="012DE986" w14:textId="77777777" w:rsidTr="0081235F">
        <w:tc>
          <w:tcPr>
            <w:tcW w:w="2122" w:type="dxa"/>
          </w:tcPr>
          <w:p w14:paraId="4A495AE0" w14:textId="77777777" w:rsidR="007A494D" w:rsidRPr="007149A2" w:rsidRDefault="007A494D" w:rsidP="0081235F">
            <w:pPr>
              <w:rPr>
                <w:i/>
                <w:sz w:val="22"/>
                <w:szCs w:val="22"/>
              </w:rPr>
            </w:pPr>
            <w:r w:rsidRPr="007149A2">
              <w:rPr>
                <w:i/>
                <w:sz w:val="22"/>
                <w:szCs w:val="22"/>
              </w:rPr>
              <w:t>Document Number</w:t>
            </w:r>
          </w:p>
        </w:tc>
        <w:tc>
          <w:tcPr>
            <w:tcW w:w="6938" w:type="dxa"/>
          </w:tcPr>
          <w:p w14:paraId="7B3025FA" w14:textId="77777777" w:rsidR="007A494D" w:rsidRPr="007149A2" w:rsidRDefault="007A494D" w:rsidP="0081235F">
            <w:pPr>
              <w:rPr>
                <w:i/>
                <w:sz w:val="22"/>
                <w:szCs w:val="22"/>
              </w:rPr>
            </w:pPr>
            <w:r w:rsidRPr="007149A2">
              <w:rPr>
                <w:i/>
                <w:sz w:val="22"/>
                <w:szCs w:val="22"/>
              </w:rPr>
              <w:t>Document Name</w:t>
            </w:r>
          </w:p>
        </w:tc>
      </w:tr>
      <w:tr w:rsidR="007A494D" w:rsidRPr="007149A2" w14:paraId="6E862D20" w14:textId="77777777" w:rsidTr="0081235F">
        <w:tc>
          <w:tcPr>
            <w:tcW w:w="2122" w:type="dxa"/>
          </w:tcPr>
          <w:p w14:paraId="59647D57" w14:textId="77777777" w:rsidR="007A494D" w:rsidRPr="007149A2" w:rsidRDefault="007A494D" w:rsidP="0081235F">
            <w:pPr>
              <w:rPr>
                <w:i/>
                <w:sz w:val="22"/>
                <w:szCs w:val="22"/>
              </w:rPr>
            </w:pPr>
            <w:r w:rsidRPr="00705A73">
              <w:rPr>
                <w:i/>
                <w:sz w:val="22"/>
                <w:szCs w:val="22"/>
              </w:rPr>
              <w:t>DGD14-014</w:t>
            </w:r>
          </w:p>
        </w:tc>
        <w:tc>
          <w:tcPr>
            <w:tcW w:w="6938" w:type="dxa"/>
          </w:tcPr>
          <w:p w14:paraId="7F294D44" w14:textId="77777777" w:rsidR="007A494D" w:rsidRPr="007149A2" w:rsidRDefault="007A494D" w:rsidP="0081235F">
            <w:pPr>
              <w:rPr>
                <w:i/>
                <w:sz w:val="22"/>
                <w:szCs w:val="22"/>
              </w:rPr>
            </w:pPr>
            <w:r w:rsidRPr="00705A73">
              <w:rPr>
                <w:i/>
                <w:sz w:val="22"/>
                <w:szCs w:val="22"/>
              </w:rPr>
              <w:t>Larger Adult Patients - Safe Manual Handling of Larger Adult Patients SOP</w:t>
            </w:r>
          </w:p>
        </w:tc>
      </w:tr>
      <w:tr w:rsidR="007A494D" w:rsidRPr="007149A2" w14:paraId="24227981" w14:textId="77777777" w:rsidTr="0081235F">
        <w:tc>
          <w:tcPr>
            <w:tcW w:w="2122" w:type="dxa"/>
          </w:tcPr>
          <w:p w14:paraId="2C7E158B" w14:textId="77777777" w:rsidR="007A494D" w:rsidRPr="007149A2" w:rsidRDefault="007A494D" w:rsidP="0081235F">
            <w:pPr>
              <w:rPr>
                <w:i/>
                <w:sz w:val="22"/>
                <w:szCs w:val="22"/>
              </w:rPr>
            </w:pPr>
            <w:r w:rsidRPr="002D640F">
              <w:rPr>
                <w:i/>
                <w:sz w:val="22"/>
                <w:szCs w:val="22"/>
              </w:rPr>
              <w:t>DGD14-014</w:t>
            </w:r>
          </w:p>
        </w:tc>
        <w:tc>
          <w:tcPr>
            <w:tcW w:w="6938" w:type="dxa"/>
          </w:tcPr>
          <w:p w14:paraId="7C0D4524" w14:textId="77777777" w:rsidR="007A494D" w:rsidRPr="007149A2" w:rsidRDefault="007A494D" w:rsidP="0081235F">
            <w:pPr>
              <w:rPr>
                <w:i/>
                <w:sz w:val="22"/>
                <w:szCs w:val="22"/>
              </w:rPr>
            </w:pPr>
            <w:r w:rsidRPr="00705A73">
              <w:rPr>
                <w:i/>
                <w:sz w:val="22"/>
                <w:szCs w:val="22"/>
              </w:rPr>
              <w:t>Larger (Bariatric) Adult Patients - General Care of Larger Adult Patients Factsheet</w:t>
            </w:r>
          </w:p>
        </w:tc>
      </w:tr>
      <w:tr w:rsidR="007A494D" w:rsidRPr="007149A2" w14:paraId="3EF81782" w14:textId="77777777" w:rsidTr="0081235F">
        <w:tc>
          <w:tcPr>
            <w:tcW w:w="2122" w:type="dxa"/>
          </w:tcPr>
          <w:p w14:paraId="599C146A" w14:textId="77777777" w:rsidR="007A494D" w:rsidRPr="007149A2" w:rsidRDefault="007A494D" w:rsidP="0081235F">
            <w:pPr>
              <w:rPr>
                <w:i/>
                <w:sz w:val="22"/>
                <w:szCs w:val="22"/>
              </w:rPr>
            </w:pPr>
            <w:r w:rsidRPr="002D640F">
              <w:rPr>
                <w:i/>
                <w:sz w:val="22"/>
                <w:szCs w:val="22"/>
              </w:rPr>
              <w:t>DGD14-014</w:t>
            </w:r>
          </w:p>
        </w:tc>
        <w:tc>
          <w:tcPr>
            <w:tcW w:w="6938" w:type="dxa"/>
          </w:tcPr>
          <w:p w14:paraId="53C81C72" w14:textId="77777777" w:rsidR="007A494D" w:rsidRPr="00705A73" w:rsidRDefault="007A494D" w:rsidP="0081235F">
            <w:pPr>
              <w:rPr>
                <w:i/>
                <w:sz w:val="22"/>
                <w:szCs w:val="22"/>
              </w:rPr>
            </w:pPr>
            <w:r w:rsidRPr="00705A73">
              <w:rPr>
                <w:i/>
                <w:sz w:val="22"/>
                <w:szCs w:val="22"/>
              </w:rPr>
              <w:t>Larger (Bariatric) Adult Patients - Clinical Issues in the Active Management</w:t>
            </w:r>
          </w:p>
        </w:tc>
      </w:tr>
      <w:tr w:rsidR="007A494D" w:rsidRPr="007149A2" w14:paraId="43FBE1BB" w14:textId="77777777" w:rsidTr="0081235F">
        <w:tc>
          <w:tcPr>
            <w:tcW w:w="2122" w:type="dxa"/>
          </w:tcPr>
          <w:p w14:paraId="4EAAA4C0" w14:textId="77777777" w:rsidR="007A494D" w:rsidRPr="007149A2" w:rsidRDefault="007A494D" w:rsidP="0081235F">
            <w:pPr>
              <w:rPr>
                <w:i/>
                <w:sz w:val="22"/>
                <w:szCs w:val="22"/>
              </w:rPr>
            </w:pPr>
            <w:r w:rsidRPr="002D640F">
              <w:rPr>
                <w:i/>
                <w:sz w:val="22"/>
                <w:szCs w:val="22"/>
              </w:rPr>
              <w:t>DGD14-014</w:t>
            </w:r>
          </w:p>
        </w:tc>
        <w:tc>
          <w:tcPr>
            <w:tcW w:w="6938" w:type="dxa"/>
          </w:tcPr>
          <w:p w14:paraId="037F4161" w14:textId="77777777" w:rsidR="007A494D" w:rsidRPr="00705A73" w:rsidRDefault="007A494D" w:rsidP="0081235F">
            <w:pPr>
              <w:rPr>
                <w:i/>
                <w:sz w:val="22"/>
                <w:szCs w:val="22"/>
              </w:rPr>
            </w:pPr>
            <w:r w:rsidRPr="00705A73">
              <w:rPr>
                <w:i/>
                <w:sz w:val="22"/>
                <w:szCs w:val="22"/>
              </w:rPr>
              <w:t>Larger (Bariatric) Adult Patients - Active Management of Larger (Bariatric) Adult Patients Policy</w:t>
            </w:r>
          </w:p>
        </w:tc>
      </w:tr>
    </w:tbl>
    <w:p w14:paraId="310FA551" w14:textId="77777777" w:rsidR="007A494D" w:rsidRDefault="007A494D" w:rsidP="007A494D">
      <w:pPr>
        <w:rPr>
          <w:rFonts w:cs="Arial"/>
          <w:szCs w:val="24"/>
        </w:rPr>
      </w:pPr>
    </w:p>
    <w:sectPr w:rsidR="007A494D" w:rsidSect="004213C3">
      <w:headerReference w:type="default" r:id="rId20"/>
      <w:footerReference w:type="default" r:id="rId21"/>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C671A" w14:textId="77777777" w:rsidR="0042676E" w:rsidRDefault="0042676E" w:rsidP="00F66CB0">
      <w:r>
        <w:separator/>
      </w:r>
    </w:p>
  </w:endnote>
  <w:endnote w:type="continuationSeparator" w:id="0">
    <w:p w14:paraId="4C208E22" w14:textId="77777777" w:rsidR="0042676E" w:rsidRDefault="0042676E"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Italic">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42676E" w:rsidRPr="00AE7C5C" w14:paraId="3E4921FC" w14:textId="77777777" w:rsidTr="00EE0E98">
      <w:tc>
        <w:tcPr>
          <w:tcW w:w="1515" w:type="dxa"/>
        </w:tcPr>
        <w:p w14:paraId="6EF7B5DB" w14:textId="77777777" w:rsidR="0042676E" w:rsidRPr="00B3752F" w:rsidRDefault="0042676E" w:rsidP="004213C3">
          <w:pPr>
            <w:pStyle w:val="Footer"/>
            <w:rPr>
              <w:rFonts w:cs="Arial"/>
              <w:b/>
              <w:bCs/>
              <w:i/>
              <w:sz w:val="20"/>
            </w:rPr>
          </w:pPr>
          <w:r w:rsidRPr="00B3752F">
            <w:rPr>
              <w:rFonts w:cs="Arial"/>
              <w:b/>
              <w:bCs/>
              <w:i/>
              <w:sz w:val="20"/>
            </w:rPr>
            <w:t>Doc Number</w:t>
          </w:r>
        </w:p>
      </w:tc>
      <w:tc>
        <w:tcPr>
          <w:tcW w:w="965" w:type="dxa"/>
        </w:tcPr>
        <w:p w14:paraId="30089097" w14:textId="77777777" w:rsidR="0042676E" w:rsidRPr="00B3752F" w:rsidRDefault="0042676E" w:rsidP="004213C3">
          <w:pPr>
            <w:pStyle w:val="Footer"/>
            <w:rPr>
              <w:rFonts w:cs="Arial"/>
              <w:b/>
              <w:bCs/>
              <w:i/>
              <w:sz w:val="20"/>
            </w:rPr>
          </w:pPr>
          <w:r w:rsidRPr="00B3752F">
            <w:rPr>
              <w:rFonts w:cs="Arial"/>
              <w:b/>
              <w:bCs/>
              <w:i/>
              <w:sz w:val="20"/>
            </w:rPr>
            <w:t>Version</w:t>
          </w:r>
        </w:p>
      </w:tc>
      <w:tc>
        <w:tcPr>
          <w:tcW w:w="1552" w:type="dxa"/>
        </w:tcPr>
        <w:p w14:paraId="539FB869" w14:textId="77777777" w:rsidR="0042676E" w:rsidRPr="00B3752F" w:rsidRDefault="0042676E" w:rsidP="004213C3">
          <w:pPr>
            <w:pStyle w:val="Footer"/>
            <w:rPr>
              <w:rFonts w:cs="Arial"/>
              <w:b/>
              <w:bCs/>
              <w:i/>
              <w:sz w:val="20"/>
            </w:rPr>
          </w:pPr>
          <w:r w:rsidRPr="00B3752F">
            <w:rPr>
              <w:rFonts w:cs="Arial"/>
              <w:b/>
              <w:bCs/>
              <w:i/>
              <w:sz w:val="20"/>
            </w:rPr>
            <w:t>Issued</w:t>
          </w:r>
        </w:p>
      </w:tc>
      <w:tc>
        <w:tcPr>
          <w:tcW w:w="1456" w:type="dxa"/>
        </w:tcPr>
        <w:p w14:paraId="31727FE5" w14:textId="77777777" w:rsidR="0042676E" w:rsidRPr="00B3752F" w:rsidRDefault="0042676E" w:rsidP="004213C3">
          <w:pPr>
            <w:pStyle w:val="Footer"/>
            <w:rPr>
              <w:rFonts w:cs="Arial"/>
              <w:b/>
              <w:bCs/>
              <w:i/>
              <w:sz w:val="20"/>
            </w:rPr>
          </w:pPr>
          <w:r w:rsidRPr="00B3752F">
            <w:rPr>
              <w:rFonts w:cs="Arial"/>
              <w:b/>
              <w:bCs/>
              <w:i/>
              <w:sz w:val="20"/>
            </w:rPr>
            <w:t>Review Date</w:t>
          </w:r>
        </w:p>
      </w:tc>
      <w:tc>
        <w:tcPr>
          <w:tcW w:w="1746" w:type="dxa"/>
        </w:tcPr>
        <w:p w14:paraId="10A12F50" w14:textId="77777777" w:rsidR="0042676E" w:rsidRPr="00B3752F" w:rsidRDefault="0042676E" w:rsidP="004213C3">
          <w:pPr>
            <w:pStyle w:val="Footer"/>
            <w:rPr>
              <w:rFonts w:cs="Arial"/>
              <w:b/>
              <w:bCs/>
              <w:i/>
              <w:sz w:val="20"/>
            </w:rPr>
          </w:pPr>
          <w:r w:rsidRPr="00B3752F">
            <w:rPr>
              <w:rFonts w:cs="Arial"/>
              <w:b/>
              <w:bCs/>
              <w:i/>
              <w:sz w:val="20"/>
            </w:rPr>
            <w:t>Area Responsible</w:t>
          </w:r>
        </w:p>
      </w:tc>
      <w:tc>
        <w:tcPr>
          <w:tcW w:w="1836" w:type="dxa"/>
        </w:tcPr>
        <w:p w14:paraId="12A0CF9B" w14:textId="77777777" w:rsidR="0042676E" w:rsidRPr="00B3752F" w:rsidRDefault="0042676E" w:rsidP="004213C3">
          <w:pPr>
            <w:pStyle w:val="Footer"/>
            <w:rPr>
              <w:rFonts w:cs="Arial"/>
              <w:b/>
              <w:bCs/>
              <w:i/>
              <w:sz w:val="20"/>
            </w:rPr>
          </w:pPr>
          <w:r w:rsidRPr="00B3752F">
            <w:rPr>
              <w:rFonts w:cs="Arial"/>
              <w:b/>
              <w:bCs/>
              <w:i/>
              <w:sz w:val="20"/>
            </w:rPr>
            <w:t>Page</w:t>
          </w:r>
        </w:p>
      </w:tc>
    </w:tr>
    <w:tr w:rsidR="007A494D" w14:paraId="0BF9B01A" w14:textId="77777777" w:rsidTr="00EE0E98">
      <w:tc>
        <w:tcPr>
          <w:tcW w:w="1515" w:type="dxa"/>
        </w:tcPr>
        <w:p w14:paraId="16A98EA0" w14:textId="4908273C" w:rsidR="007A494D" w:rsidRPr="00542EE6" w:rsidRDefault="007A494D" w:rsidP="007A494D">
          <w:pPr>
            <w:pStyle w:val="Footer"/>
            <w:rPr>
              <w:rFonts w:cs="Arial"/>
              <w:b/>
              <w:bCs/>
              <w:sz w:val="20"/>
            </w:rPr>
          </w:pPr>
          <w:r>
            <w:rPr>
              <w:b/>
              <w:sz w:val="20"/>
            </w:rPr>
            <w:t>CHHS18/100</w:t>
          </w:r>
        </w:p>
      </w:tc>
      <w:tc>
        <w:tcPr>
          <w:tcW w:w="965" w:type="dxa"/>
        </w:tcPr>
        <w:p w14:paraId="01D14DF2" w14:textId="25E510BE" w:rsidR="007A494D" w:rsidRPr="00B3752F" w:rsidRDefault="007A494D" w:rsidP="007A494D">
          <w:pPr>
            <w:pStyle w:val="Footer"/>
            <w:rPr>
              <w:rFonts w:cs="Arial"/>
              <w:b/>
              <w:bCs/>
              <w:sz w:val="20"/>
            </w:rPr>
          </w:pPr>
          <w:r>
            <w:rPr>
              <w:rFonts w:cs="Arial"/>
              <w:b/>
              <w:bCs/>
              <w:sz w:val="20"/>
            </w:rPr>
            <w:t>1</w:t>
          </w:r>
        </w:p>
      </w:tc>
      <w:tc>
        <w:tcPr>
          <w:tcW w:w="1552" w:type="dxa"/>
        </w:tcPr>
        <w:p w14:paraId="55A7EAC5" w14:textId="648B5D8E" w:rsidR="007A494D" w:rsidRPr="00B3752F" w:rsidRDefault="007A494D" w:rsidP="007A494D">
          <w:pPr>
            <w:pStyle w:val="Footer"/>
            <w:rPr>
              <w:rFonts w:cs="Arial"/>
              <w:b/>
              <w:bCs/>
              <w:sz w:val="20"/>
            </w:rPr>
          </w:pPr>
          <w:r>
            <w:rPr>
              <w:rFonts w:cs="Arial"/>
              <w:b/>
              <w:bCs/>
              <w:sz w:val="20"/>
            </w:rPr>
            <w:t>16/03/2018</w:t>
          </w:r>
        </w:p>
      </w:tc>
      <w:tc>
        <w:tcPr>
          <w:tcW w:w="1456" w:type="dxa"/>
        </w:tcPr>
        <w:p w14:paraId="25E667B4" w14:textId="44609103" w:rsidR="007A494D" w:rsidRPr="00B3752F" w:rsidRDefault="007A494D" w:rsidP="007A494D">
          <w:pPr>
            <w:pStyle w:val="Footer"/>
            <w:rPr>
              <w:rFonts w:cs="Arial"/>
              <w:b/>
              <w:bCs/>
              <w:sz w:val="20"/>
            </w:rPr>
          </w:pPr>
          <w:r>
            <w:rPr>
              <w:rFonts w:cs="Arial"/>
              <w:b/>
              <w:bCs/>
              <w:sz w:val="20"/>
            </w:rPr>
            <w:t>01/04/2022</w:t>
          </w:r>
        </w:p>
      </w:tc>
      <w:tc>
        <w:tcPr>
          <w:tcW w:w="1746" w:type="dxa"/>
        </w:tcPr>
        <w:p w14:paraId="13253099" w14:textId="13AA3FEF" w:rsidR="007A494D" w:rsidRPr="00B3752F" w:rsidRDefault="007A494D" w:rsidP="007A494D">
          <w:pPr>
            <w:pStyle w:val="Footer"/>
            <w:rPr>
              <w:rFonts w:cs="Arial"/>
              <w:b/>
              <w:bCs/>
              <w:sz w:val="20"/>
            </w:rPr>
          </w:pPr>
          <w:r>
            <w:rPr>
              <w:rFonts w:cs="Arial"/>
              <w:b/>
              <w:bCs/>
              <w:sz w:val="20"/>
            </w:rPr>
            <w:t>Medicine – Chronic Disease</w:t>
          </w:r>
        </w:p>
      </w:tc>
      <w:tc>
        <w:tcPr>
          <w:tcW w:w="1836" w:type="dxa"/>
        </w:tcPr>
        <w:p w14:paraId="14C606A5" w14:textId="5586B837" w:rsidR="007A494D" w:rsidRPr="00B3752F" w:rsidRDefault="007A494D" w:rsidP="007A494D">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1</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15</w:t>
          </w:r>
          <w:r w:rsidRPr="00B3752F">
            <w:rPr>
              <w:rStyle w:val="PageNumber"/>
              <w:sz w:val="20"/>
            </w:rPr>
            <w:fldChar w:fldCharType="end"/>
          </w:r>
        </w:p>
      </w:tc>
    </w:tr>
    <w:tr w:rsidR="0042676E" w14:paraId="744CBCB5" w14:textId="77777777" w:rsidTr="00B4684D">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04E585DA" w14:textId="77777777" w:rsidR="0042676E" w:rsidRPr="002C1428" w:rsidRDefault="0042676E" w:rsidP="00EE0E98">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ACT Health</w:t>
          </w:r>
          <w:r w:rsidRPr="002C1428">
            <w:rPr>
              <w:sz w:val="16"/>
              <w:szCs w:val="16"/>
            </w:rPr>
            <w:t xml:space="preserve"> Policy Register</w:t>
          </w:r>
        </w:p>
      </w:tc>
    </w:tr>
  </w:tbl>
  <w:p w14:paraId="3EF054A7" w14:textId="77777777" w:rsidR="0042676E" w:rsidRPr="00A547D6" w:rsidRDefault="0042676E" w:rsidP="007A494D">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FBAAD6" w14:textId="77777777" w:rsidR="0042676E" w:rsidRDefault="0042676E" w:rsidP="00F66CB0">
      <w:r>
        <w:separator/>
      </w:r>
    </w:p>
  </w:footnote>
  <w:footnote w:type="continuationSeparator" w:id="0">
    <w:p w14:paraId="3E6B3F0F" w14:textId="77777777" w:rsidR="0042676E" w:rsidRDefault="0042676E" w:rsidP="00F66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514"/>
    </w:tblGrid>
    <w:tr w:rsidR="0042676E" w14:paraId="5966DB77" w14:textId="77777777" w:rsidTr="0074223E">
      <w:trPr>
        <w:trHeight w:val="1418"/>
      </w:trPr>
      <w:tc>
        <w:tcPr>
          <w:tcW w:w="5556" w:type="dxa"/>
          <w:vAlign w:val="center"/>
          <w:hideMark/>
        </w:tcPr>
        <w:p w14:paraId="1AA81830" w14:textId="77777777" w:rsidR="0042676E" w:rsidRDefault="0042676E" w:rsidP="0074223E">
          <w:pPr>
            <w:pStyle w:val="Header"/>
            <w:rPr>
              <w:sz w:val="20"/>
            </w:rPr>
          </w:pPr>
          <w:r>
            <w:rPr>
              <w:noProof/>
              <w:sz w:val="20"/>
            </w:rPr>
            <w:drawing>
              <wp:inline distT="0" distB="0" distL="0" distR="0" wp14:anchorId="21C660F6" wp14:editId="52828AEB">
                <wp:extent cx="3363595" cy="819150"/>
                <wp:effectExtent l="19050" t="0" r="8255" b="0"/>
                <wp:docPr id="4" name="Picture 1" descr="CH_Logo_ACT_Health_Lockup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Logo_ACT_Health_Lockup_CMYK_HR"/>
                        <pic:cNvPicPr>
                          <a:picLocks noChangeAspect="1" noChangeArrowheads="1"/>
                        </pic:cNvPicPr>
                      </pic:nvPicPr>
                      <pic:blipFill>
                        <a:blip r:embed="rId1"/>
                        <a:srcRect/>
                        <a:stretch>
                          <a:fillRect/>
                        </a:stretch>
                      </pic:blipFill>
                      <pic:spPr bwMode="auto">
                        <a:xfrm>
                          <a:off x="0" y="0"/>
                          <a:ext cx="3363595" cy="819150"/>
                        </a:xfrm>
                        <a:prstGeom prst="rect">
                          <a:avLst/>
                        </a:prstGeom>
                        <a:noFill/>
                        <a:ln w="9525">
                          <a:noFill/>
                          <a:miter lim="800000"/>
                          <a:headEnd/>
                          <a:tailEnd/>
                        </a:ln>
                      </pic:spPr>
                    </pic:pic>
                  </a:graphicData>
                </a:graphic>
              </wp:inline>
            </w:drawing>
          </w:r>
        </w:p>
      </w:tc>
      <w:tc>
        <w:tcPr>
          <w:tcW w:w="3730" w:type="dxa"/>
          <w:vAlign w:val="center"/>
          <w:hideMark/>
        </w:tcPr>
        <w:p w14:paraId="3DB4BA96" w14:textId="4648C9DF" w:rsidR="0042676E" w:rsidRDefault="007A494D">
          <w:pPr>
            <w:pStyle w:val="Header"/>
            <w:tabs>
              <w:tab w:val="left" w:pos="720"/>
            </w:tabs>
            <w:jc w:val="right"/>
            <w:rPr>
              <w:sz w:val="20"/>
            </w:rPr>
          </w:pPr>
          <w:bookmarkStart w:id="57" w:name="_top"/>
          <w:bookmarkEnd w:id="57"/>
          <w:r>
            <w:rPr>
              <w:sz w:val="20"/>
            </w:rPr>
            <w:t>CHHS18/100</w:t>
          </w:r>
        </w:p>
      </w:tc>
    </w:tr>
  </w:tbl>
  <w:p w14:paraId="59FE4F4D" w14:textId="77777777" w:rsidR="0042676E" w:rsidRPr="00FC3538" w:rsidRDefault="0042676E">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0846592"/>
    <w:lvl w:ilvl="0">
      <w:start w:val="1"/>
      <w:numFmt w:val="bullet"/>
      <w:pStyle w:val="ListBullet"/>
      <w:lvlText w:val=""/>
      <w:lvlJc w:val="left"/>
      <w:pPr>
        <w:tabs>
          <w:tab w:val="num" w:pos="1080"/>
        </w:tabs>
        <w:ind w:left="1080" w:hanging="360"/>
      </w:pPr>
      <w:rPr>
        <w:rFonts w:ascii="Symbol" w:hAnsi="Symbol" w:hint="default"/>
        <w:color w:val="auto"/>
        <w:sz w:val="24"/>
      </w:rPr>
    </w:lvl>
  </w:abstractNum>
  <w:abstractNum w:abstractNumId="1" w15:restartNumberingAfterBreak="0">
    <w:nsid w:val="000327E6"/>
    <w:multiLevelType w:val="hybridMultilevel"/>
    <w:tmpl w:val="AD0E8A42"/>
    <w:lvl w:ilvl="0" w:tplc="0C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2" w15:restartNumberingAfterBreak="0">
    <w:nsid w:val="000E4A70"/>
    <w:multiLevelType w:val="hybridMultilevel"/>
    <w:tmpl w:val="FDB6CB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594FDC"/>
    <w:multiLevelType w:val="hybridMultilevel"/>
    <w:tmpl w:val="FCA4B79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036F7A16"/>
    <w:multiLevelType w:val="hybridMultilevel"/>
    <w:tmpl w:val="B81EF36C"/>
    <w:lvl w:ilvl="0" w:tplc="0C090001">
      <w:start w:val="1"/>
      <w:numFmt w:val="bullet"/>
      <w:lvlText w:val=""/>
      <w:lvlJc w:val="left"/>
      <w:pPr>
        <w:tabs>
          <w:tab w:val="num" w:pos="7590"/>
        </w:tabs>
        <w:ind w:left="7590" w:hanging="360"/>
      </w:pPr>
      <w:rPr>
        <w:rFonts w:ascii="Symbol" w:hAnsi="Symbol" w:hint="default"/>
      </w:rPr>
    </w:lvl>
    <w:lvl w:ilvl="1" w:tplc="0C090003" w:tentative="1">
      <w:start w:val="1"/>
      <w:numFmt w:val="bullet"/>
      <w:lvlText w:val="o"/>
      <w:lvlJc w:val="left"/>
      <w:pPr>
        <w:ind w:left="8310" w:hanging="360"/>
      </w:pPr>
      <w:rPr>
        <w:rFonts w:ascii="Courier New" w:hAnsi="Courier New" w:hint="default"/>
      </w:rPr>
    </w:lvl>
    <w:lvl w:ilvl="2" w:tplc="0C090005" w:tentative="1">
      <w:start w:val="1"/>
      <w:numFmt w:val="bullet"/>
      <w:lvlText w:val=""/>
      <w:lvlJc w:val="left"/>
      <w:pPr>
        <w:ind w:left="9030" w:hanging="360"/>
      </w:pPr>
      <w:rPr>
        <w:rFonts w:ascii="Wingdings" w:hAnsi="Wingdings" w:hint="default"/>
      </w:rPr>
    </w:lvl>
    <w:lvl w:ilvl="3" w:tplc="0C090001" w:tentative="1">
      <w:start w:val="1"/>
      <w:numFmt w:val="bullet"/>
      <w:lvlText w:val=""/>
      <w:lvlJc w:val="left"/>
      <w:pPr>
        <w:ind w:left="9750" w:hanging="360"/>
      </w:pPr>
      <w:rPr>
        <w:rFonts w:ascii="Symbol" w:hAnsi="Symbol" w:hint="default"/>
      </w:rPr>
    </w:lvl>
    <w:lvl w:ilvl="4" w:tplc="0C090003" w:tentative="1">
      <w:start w:val="1"/>
      <w:numFmt w:val="bullet"/>
      <w:lvlText w:val="o"/>
      <w:lvlJc w:val="left"/>
      <w:pPr>
        <w:ind w:left="10470" w:hanging="360"/>
      </w:pPr>
      <w:rPr>
        <w:rFonts w:ascii="Courier New" w:hAnsi="Courier New" w:hint="default"/>
      </w:rPr>
    </w:lvl>
    <w:lvl w:ilvl="5" w:tplc="0C090005" w:tentative="1">
      <w:start w:val="1"/>
      <w:numFmt w:val="bullet"/>
      <w:lvlText w:val=""/>
      <w:lvlJc w:val="left"/>
      <w:pPr>
        <w:ind w:left="11190" w:hanging="360"/>
      </w:pPr>
      <w:rPr>
        <w:rFonts w:ascii="Wingdings" w:hAnsi="Wingdings" w:hint="default"/>
      </w:rPr>
    </w:lvl>
    <w:lvl w:ilvl="6" w:tplc="0C090001" w:tentative="1">
      <w:start w:val="1"/>
      <w:numFmt w:val="bullet"/>
      <w:lvlText w:val=""/>
      <w:lvlJc w:val="left"/>
      <w:pPr>
        <w:ind w:left="11910" w:hanging="360"/>
      </w:pPr>
      <w:rPr>
        <w:rFonts w:ascii="Symbol" w:hAnsi="Symbol" w:hint="default"/>
      </w:rPr>
    </w:lvl>
    <w:lvl w:ilvl="7" w:tplc="0C090003" w:tentative="1">
      <w:start w:val="1"/>
      <w:numFmt w:val="bullet"/>
      <w:lvlText w:val="o"/>
      <w:lvlJc w:val="left"/>
      <w:pPr>
        <w:ind w:left="12630" w:hanging="360"/>
      </w:pPr>
      <w:rPr>
        <w:rFonts w:ascii="Courier New" w:hAnsi="Courier New" w:hint="default"/>
      </w:rPr>
    </w:lvl>
    <w:lvl w:ilvl="8" w:tplc="0C090005" w:tentative="1">
      <w:start w:val="1"/>
      <w:numFmt w:val="bullet"/>
      <w:lvlText w:val=""/>
      <w:lvlJc w:val="left"/>
      <w:pPr>
        <w:ind w:left="13350" w:hanging="360"/>
      </w:pPr>
      <w:rPr>
        <w:rFonts w:ascii="Wingdings" w:hAnsi="Wingdings" w:hint="default"/>
      </w:rPr>
    </w:lvl>
  </w:abstractNum>
  <w:abstractNum w:abstractNumId="5" w15:restartNumberingAfterBreak="0">
    <w:nsid w:val="05CA4CD0"/>
    <w:multiLevelType w:val="hybridMultilevel"/>
    <w:tmpl w:val="F9D6196A"/>
    <w:lvl w:ilvl="0" w:tplc="0C090001">
      <w:start w:val="1"/>
      <w:numFmt w:val="bullet"/>
      <w:lvlText w:val=""/>
      <w:lvlJc w:val="left"/>
      <w:pPr>
        <w:ind w:left="459" w:hanging="360"/>
      </w:pPr>
      <w:rPr>
        <w:rFonts w:ascii="Symbol" w:hAnsi="Symbol" w:hint="default"/>
      </w:rPr>
    </w:lvl>
    <w:lvl w:ilvl="1" w:tplc="0C090001">
      <w:start w:val="1"/>
      <w:numFmt w:val="bullet"/>
      <w:lvlText w:val=""/>
      <w:lvlJc w:val="left"/>
      <w:pPr>
        <w:ind w:left="819" w:hanging="360"/>
      </w:pPr>
      <w:rPr>
        <w:rFonts w:ascii="Symbol" w:hAnsi="Symbol" w:hint="default"/>
      </w:rPr>
    </w:lvl>
    <w:lvl w:ilvl="2" w:tplc="0C090005" w:tentative="1">
      <w:start w:val="1"/>
      <w:numFmt w:val="bullet"/>
      <w:lvlText w:val=""/>
      <w:lvlJc w:val="left"/>
      <w:pPr>
        <w:ind w:left="1539" w:hanging="360"/>
      </w:pPr>
      <w:rPr>
        <w:rFonts w:ascii="Wingdings" w:hAnsi="Wingdings" w:hint="default"/>
      </w:rPr>
    </w:lvl>
    <w:lvl w:ilvl="3" w:tplc="0C090001" w:tentative="1">
      <w:start w:val="1"/>
      <w:numFmt w:val="bullet"/>
      <w:lvlText w:val=""/>
      <w:lvlJc w:val="left"/>
      <w:pPr>
        <w:ind w:left="2259" w:hanging="360"/>
      </w:pPr>
      <w:rPr>
        <w:rFonts w:ascii="Symbol" w:hAnsi="Symbol" w:hint="default"/>
      </w:rPr>
    </w:lvl>
    <w:lvl w:ilvl="4" w:tplc="0C090003" w:tentative="1">
      <w:start w:val="1"/>
      <w:numFmt w:val="bullet"/>
      <w:lvlText w:val="o"/>
      <w:lvlJc w:val="left"/>
      <w:pPr>
        <w:ind w:left="2979" w:hanging="360"/>
      </w:pPr>
      <w:rPr>
        <w:rFonts w:ascii="Courier New" w:hAnsi="Courier New" w:hint="default"/>
      </w:rPr>
    </w:lvl>
    <w:lvl w:ilvl="5" w:tplc="0C090005" w:tentative="1">
      <w:start w:val="1"/>
      <w:numFmt w:val="bullet"/>
      <w:lvlText w:val=""/>
      <w:lvlJc w:val="left"/>
      <w:pPr>
        <w:ind w:left="3699" w:hanging="360"/>
      </w:pPr>
      <w:rPr>
        <w:rFonts w:ascii="Wingdings" w:hAnsi="Wingdings" w:hint="default"/>
      </w:rPr>
    </w:lvl>
    <w:lvl w:ilvl="6" w:tplc="0C090001" w:tentative="1">
      <w:start w:val="1"/>
      <w:numFmt w:val="bullet"/>
      <w:lvlText w:val=""/>
      <w:lvlJc w:val="left"/>
      <w:pPr>
        <w:ind w:left="4419" w:hanging="360"/>
      </w:pPr>
      <w:rPr>
        <w:rFonts w:ascii="Symbol" w:hAnsi="Symbol" w:hint="default"/>
      </w:rPr>
    </w:lvl>
    <w:lvl w:ilvl="7" w:tplc="0C090003" w:tentative="1">
      <w:start w:val="1"/>
      <w:numFmt w:val="bullet"/>
      <w:lvlText w:val="o"/>
      <w:lvlJc w:val="left"/>
      <w:pPr>
        <w:ind w:left="5139" w:hanging="360"/>
      </w:pPr>
      <w:rPr>
        <w:rFonts w:ascii="Courier New" w:hAnsi="Courier New" w:hint="default"/>
      </w:rPr>
    </w:lvl>
    <w:lvl w:ilvl="8" w:tplc="0C090005" w:tentative="1">
      <w:start w:val="1"/>
      <w:numFmt w:val="bullet"/>
      <w:lvlText w:val=""/>
      <w:lvlJc w:val="left"/>
      <w:pPr>
        <w:ind w:left="5859" w:hanging="360"/>
      </w:pPr>
      <w:rPr>
        <w:rFonts w:ascii="Wingdings" w:hAnsi="Wingdings" w:hint="default"/>
      </w:rPr>
    </w:lvl>
  </w:abstractNum>
  <w:abstractNum w:abstractNumId="6" w15:restartNumberingAfterBreak="0">
    <w:nsid w:val="09D617C1"/>
    <w:multiLevelType w:val="hybridMultilevel"/>
    <w:tmpl w:val="E48EB4AC"/>
    <w:lvl w:ilvl="0" w:tplc="0C090001">
      <w:start w:val="1"/>
      <w:numFmt w:val="bullet"/>
      <w:lvlText w:val=""/>
      <w:lvlJc w:val="left"/>
      <w:pPr>
        <w:ind w:left="1484" w:hanging="360"/>
      </w:pPr>
      <w:rPr>
        <w:rFonts w:ascii="Symbol" w:hAnsi="Symbol" w:hint="default"/>
      </w:rPr>
    </w:lvl>
    <w:lvl w:ilvl="1" w:tplc="0C090003" w:tentative="1">
      <w:start w:val="1"/>
      <w:numFmt w:val="bullet"/>
      <w:lvlText w:val="o"/>
      <w:lvlJc w:val="left"/>
      <w:pPr>
        <w:ind w:left="2204" w:hanging="360"/>
      </w:pPr>
      <w:rPr>
        <w:rFonts w:ascii="Courier New" w:hAnsi="Courier New" w:hint="default"/>
      </w:rPr>
    </w:lvl>
    <w:lvl w:ilvl="2" w:tplc="0C090005" w:tentative="1">
      <w:start w:val="1"/>
      <w:numFmt w:val="bullet"/>
      <w:lvlText w:val=""/>
      <w:lvlJc w:val="left"/>
      <w:pPr>
        <w:ind w:left="2924" w:hanging="360"/>
      </w:pPr>
      <w:rPr>
        <w:rFonts w:ascii="Wingdings" w:hAnsi="Wingdings" w:hint="default"/>
      </w:rPr>
    </w:lvl>
    <w:lvl w:ilvl="3" w:tplc="0C090001" w:tentative="1">
      <w:start w:val="1"/>
      <w:numFmt w:val="bullet"/>
      <w:lvlText w:val=""/>
      <w:lvlJc w:val="left"/>
      <w:pPr>
        <w:ind w:left="3644" w:hanging="360"/>
      </w:pPr>
      <w:rPr>
        <w:rFonts w:ascii="Symbol" w:hAnsi="Symbol" w:hint="default"/>
      </w:rPr>
    </w:lvl>
    <w:lvl w:ilvl="4" w:tplc="0C090003" w:tentative="1">
      <w:start w:val="1"/>
      <w:numFmt w:val="bullet"/>
      <w:lvlText w:val="o"/>
      <w:lvlJc w:val="left"/>
      <w:pPr>
        <w:ind w:left="4364" w:hanging="360"/>
      </w:pPr>
      <w:rPr>
        <w:rFonts w:ascii="Courier New" w:hAnsi="Courier New" w:hint="default"/>
      </w:rPr>
    </w:lvl>
    <w:lvl w:ilvl="5" w:tplc="0C090005" w:tentative="1">
      <w:start w:val="1"/>
      <w:numFmt w:val="bullet"/>
      <w:lvlText w:val=""/>
      <w:lvlJc w:val="left"/>
      <w:pPr>
        <w:ind w:left="5084" w:hanging="360"/>
      </w:pPr>
      <w:rPr>
        <w:rFonts w:ascii="Wingdings" w:hAnsi="Wingdings" w:hint="default"/>
      </w:rPr>
    </w:lvl>
    <w:lvl w:ilvl="6" w:tplc="0C090001" w:tentative="1">
      <w:start w:val="1"/>
      <w:numFmt w:val="bullet"/>
      <w:lvlText w:val=""/>
      <w:lvlJc w:val="left"/>
      <w:pPr>
        <w:ind w:left="5804" w:hanging="360"/>
      </w:pPr>
      <w:rPr>
        <w:rFonts w:ascii="Symbol" w:hAnsi="Symbol" w:hint="default"/>
      </w:rPr>
    </w:lvl>
    <w:lvl w:ilvl="7" w:tplc="0C090003" w:tentative="1">
      <w:start w:val="1"/>
      <w:numFmt w:val="bullet"/>
      <w:lvlText w:val="o"/>
      <w:lvlJc w:val="left"/>
      <w:pPr>
        <w:ind w:left="6524" w:hanging="360"/>
      </w:pPr>
      <w:rPr>
        <w:rFonts w:ascii="Courier New" w:hAnsi="Courier New" w:hint="default"/>
      </w:rPr>
    </w:lvl>
    <w:lvl w:ilvl="8" w:tplc="0C090005" w:tentative="1">
      <w:start w:val="1"/>
      <w:numFmt w:val="bullet"/>
      <w:lvlText w:val=""/>
      <w:lvlJc w:val="left"/>
      <w:pPr>
        <w:ind w:left="7244" w:hanging="360"/>
      </w:pPr>
      <w:rPr>
        <w:rFonts w:ascii="Wingdings" w:hAnsi="Wingdings" w:hint="default"/>
      </w:rPr>
    </w:lvl>
  </w:abstractNum>
  <w:abstractNum w:abstractNumId="7" w15:restartNumberingAfterBreak="0">
    <w:nsid w:val="0A495146"/>
    <w:multiLevelType w:val="hybridMultilevel"/>
    <w:tmpl w:val="70DADB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3B3F17"/>
    <w:multiLevelType w:val="hybridMultilevel"/>
    <w:tmpl w:val="7E4CA340"/>
    <w:lvl w:ilvl="0" w:tplc="0C090001">
      <w:start w:val="1"/>
      <w:numFmt w:val="bullet"/>
      <w:lvlText w:val=""/>
      <w:lvlJc w:val="left"/>
      <w:pPr>
        <w:ind w:left="786" w:hanging="360"/>
      </w:pPr>
      <w:rPr>
        <w:rFonts w:ascii="Symbol" w:hAnsi="Symbol" w:hint="default"/>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15:restartNumberingAfterBreak="0">
    <w:nsid w:val="0EFA32B2"/>
    <w:multiLevelType w:val="hybridMultilevel"/>
    <w:tmpl w:val="17C411A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1950D1"/>
    <w:multiLevelType w:val="multilevel"/>
    <w:tmpl w:val="B338096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1CC7BA6"/>
    <w:multiLevelType w:val="hybridMultilevel"/>
    <w:tmpl w:val="212C0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050C8F"/>
    <w:multiLevelType w:val="hybridMultilevel"/>
    <w:tmpl w:val="04F46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1E48DF"/>
    <w:multiLevelType w:val="multilevel"/>
    <w:tmpl w:val="B338096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E6D7DF6"/>
    <w:multiLevelType w:val="hybridMultilevel"/>
    <w:tmpl w:val="410CB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993E6E"/>
    <w:multiLevelType w:val="hybridMultilevel"/>
    <w:tmpl w:val="A8B2632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15:restartNumberingAfterBreak="0">
    <w:nsid w:val="308E7A86"/>
    <w:multiLevelType w:val="multilevel"/>
    <w:tmpl w:val="63ECABC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322571D2"/>
    <w:multiLevelType w:val="hybridMultilevel"/>
    <w:tmpl w:val="919C8A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2965EA6"/>
    <w:multiLevelType w:val="hybridMultilevel"/>
    <w:tmpl w:val="DE1C93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33630CEC"/>
    <w:multiLevelType w:val="hybridMultilevel"/>
    <w:tmpl w:val="FD72C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741966"/>
    <w:multiLevelType w:val="hybridMultilevel"/>
    <w:tmpl w:val="13CA8362"/>
    <w:lvl w:ilvl="0" w:tplc="D67263DE">
      <w:numFmt w:val="bullet"/>
      <w:lvlText w:val=""/>
      <w:lvlJc w:val="left"/>
      <w:pPr>
        <w:ind w:left="1712" w:hanging="361"/>
      </w:pPr>
      <w:rPr>
        <w:rFonts w:ascii="Symbol" w:eastAsia="Symbol" w:hAnsi="Symbol" w:cs="Symbol" w:hint="default"/>
        <w:w w:val="100"/>
        <w:sz w:val="22"/>
        <w:szCs w:val="22"/>
      </w:rPr>
    </w:lvl>
    <w:lvl w:ilvl="1" w:tplc="940C22F6">
      <w:numFmt w:val="bullet"/>
      <w:lvlText w:val="•"/>
      <w:lvlJc w:val="left"/>
      <w:pPr>
        <w:ind w:left="3640" w:hanging="361"/>
      </w:pPr>
      <w:rPr>
        <w:rFonts w:hint="default"/>
      </w:rPr>
    </w:lvl>
    <w:lvl w:ilvl="2" w:tplc="8D1E26DE">
      <w:numFmt w:val="bullet"/>
      <w:lvlText w:val="•"/>
      <w:lvlJc w:val="left"/>
      <w:pPr>
        <w:ind w:left="4542" w:hanging="361"/>
      </w:pPr>
      <w:rPr>
        <w:rFonts w:hint="default"/>
      </w:rPr>
    </w:lvl>
    <w:lvl w:ilvl="3" w:tplc="9B569724">
      <w:numFmt w:val="bullet"/>
      <w:lvlText w:val="•"/>
      <w:lvlJc w:val="left"/>
      <w:pPr>
        <w:ind w:left="5444" w:hanging="361"/>
      </w:pPr>
      <w:rPr>
        <w:rFonts w:hint="default"/>
      </w:rPr>
    </w:lvl>
    <w:lvl w:ilvl="4" w:tplc="EE20DD92">
      <w:numFmt w:val="bullet"/>
      <w:lvlText w:val="•"/>
      <w:lvlJc w:val="left"/>
      <w:pPr>
        <w:ind w:left="6346" w:hanging="361"/>
      </w:pPr>
      <w:rPr>
        <w:rFonts w:hint="default"/>
      </w:rPr>
    </w:lvl>
    <w:lvl w:ilvl="5" w:tplc="C8E8F366">
      <w:numFmt w:val="bullet"/>
      <w:lvlText w:val="•"/>
      <w:lvlJc w:val="left"/>
      <w:pPr>
        <w:ind w:left="7248" w:hanging="361"/>
      </w:pPr>
      <w:rPr>
        <w:rFonts w:hint="default"/>
      </w:rPr>
    </w:lvl>
    <w:lvl w:ilvl="6" w:tplc="21B69E2E">
      <w:numFmt w:val="bullet"/>
      <w:lvlText w:val="•"/>
      <w:lvlJc w:val="left"/>
      <w:pPr>
        <w:ind w:left="8151" w:hanging="361"/>
      </w:pPr>
      <w:rPr>
        <w:rFonts w:hint="default"/>
      </w:rPr>
    </w:lvl>
    <w:lvl w:ilvl="7" w:tplc="CB0E6EC2">
      <w:numFmt w:val="bullet"/>
      <w:lvlText w:val="•"/>
      <w:lvlJc w:val="left"/>
      <w:pPr>
        <w:ind w:left="9053" w:hanging="361"/>
      </w:pPr>
      <w:rPr>
        <w:rFonts w:hint="default"/>
      </w:rPr>
    </w:lvl>
    <w:lvl w:ilvl="8" w:tplc="8612CE5E">
      <w:numFmt w:val="bullet"/>
      <w:lvlText w:val="•"/>
      <w:lvlJc w:val="left"/>
      <w:pPr>
        <w:ind w:left="9955" w:hanging="361"/>
      </w:pPr>
      <w:rPr>
        <w:rFonts w:hint="default"/>
      </w:rPr>
    </w:lvl>
  </w:abstractNum>
  <w:abstractNum w:abstractNumId="21" w15:restartNumberingAfterBreak="0">
    <w:nsid w:val="33E22A67"/>
    <w:multiLevelType w:val="hybridMultilevel"/>
    <w:tmpl w:val="B3240E32"/>
    <w:lvl w:ilvl="0" w:tplc="E2C2C7E4">
      <w:start w:val="1"/>
      <w:numFmt w:val="bullet"/>
      <w:lvlText w:val="-"/>
      <w:lvlJc w:val="left"/>
      <w:pPr>
        <w:ind w:left="786" w:hanging="360"/>
      </w:pPr>
      <w:rPr>
        <w:rFonts w:ascii="Courier New" w:hAnsi="Courier New" w:hint="default"/>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3FB967D5"/>
    <w:multiLevelType w:val="multilevel"/>
    <w:tmpl w:val="2BC8F1D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01E7125"/>
    <w:multiLevelType w:val="hybridMultilevel"/>
    <w:tmpl w:val="DBE8CE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4413E56"/>
    <w:multiLevelType w:val="hybridMultilevel"/>
    <w:tmpl w:val="6066B5EA"/>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5" w15:restartNumberingAfterBreak="0">
    <w:nsid w:val="477A4F98"/>
    <w:multiLevelType w:val="hybridMultilevel"/>
    <w:tmpl w:val="B3A68B04"/>
    <w:lvl w:ilvl="0" w:tplc="0C090001">
      <w:start w:val="1"/>
      <w:numFmt w:val="bullet"/>
      <w:lvlText w:val=""/>
      <w:lvlJc w:val="left"/>
      <w:pPr>
        <w:ind w:left="459" w:hanging="360"/>
      </w:pPr>
      <w:rPr>
        <w:rFonts w:ascii="Symbol" w:hAnsi="Symbol" w:hint="default"/>
      </w:rPr>
    </w:lvl>
    <w:lvl w:ilvl="1" w:tplc="0C090003">
      <w:start w:val="1"/>
      <w:numFmt w:val="bullet"/>
      <w:lvlText w:val="o"/>
      <w:lvlJc w:val="left"/>
      <w:pPr>
        <w:ind w:left="819" w:hanging="360"/>
      </w:pPr>
      <w:rPr>
        <w:rFonts w:ascii="Courier New" w:hAnsi="Courier New" w:hint="default"/>
      </w:rPr>
    </w:lvl>
    <w:lvl w:ilvl="2" w:tplc="0C090005" w:tentative="1">
      <w:start w:val="1"/>
      <w:numFmt w:val="bullet"/>
      <w:lvlText w:val=""/>
      <w:lvlJc w:val="left"/>
      <w:pPr>
        <w:ind w:left="1539" w:hanging="360"/>
      </w:pPr>
      <w:rPr>
        <w:rFonts w:ascii="Wingdings" w:hAnsi="Wingdings" w:hint="default"/>
      </w:rPr>
    </w:lvl>
    <w:lvl w:ilvl="3" w:tplc="0C090001" w:tentative="1">
      <w:start w:val="1"/>
      <w:numFmt w:val="bullet"/>
      <w:lvlText w:val=""/>
      <w:lvlJc w:val="left"/>
      <w:pPr>
        <w:ind w:left="2259" w:hanging="360"/>
      </w:pPr>
      <w:rPr>
        <w:rFonts w:ascii="Symbol" w:hAnsi="Symbol" w:hint="default"/>
      </w:rPr>
    </w:lvl>
    <w:lvl w:ilvl="4" w:tplc="0C090003" w:tentative="1">
      <w:start w:val="1"/>
      <w:numFmt w:val="bullet"/>
      <w:lvlText w:val="o"/>
      <w:lvlJc w:val="left"/>
      <w:pPr>
        <w:ind w:left="2979" w:hanging="360"/>
      </w:pPr>
      <w:rPr>
        <w:rFonts w:ascii="Courier New" w:hAnsi="Courier New" w:hint="default"/>
      </w:rPr>
    </w:lvl>
    <w:lvl w:ilvl="5" w:tplc="0C090005" w:tentative="1">
      <w:start w:val="1"/>
      <w:numFmt w:val="bullet"/>
      <w:lvlText w:val=""/>
      <w:lvlJc w:val="left"/>
      <w:pPr>
        <w:ind w:left="3699" w:hanging="360"/>
      </w:pPr>
      <w:rPr>
        <w:rFonts w:ascii="Wingdings" w:hAnsi="Wingdings" w:hint="default"/>
      </w:rPr>
    </w:lvl>
    <w:lvl w:ilvl="6" w:tplc="0C090001" w:tentative="1">
      <w:start w:val="1"/>
      <w:numFmt w:val="bullet"/>
      <w:lvlText w:val=""/>
      <w:lvlJc w:val="left"/>
      <w:pPr>
        <w:ind w:left="4419" w:hanging="360"/>
      </w:pPr>
      <w:rPr>
        <w:rFonts w:ascii="Symbol" w:hAnsi="Symbol" w:hint="default"/>
      </w:rPr>
    </w:lvl>
    <w:lvl w:ilvl="7" w:tplc="0C090003" w:tentative="1">
      <w:start w:val="1"/>
      <w:numFmt w:val="bullet"/>
      <w:lvlText w:val="o"/>
      <w:lvlJc w:val="left"/>
      <w:pPr>
        <w:ind w:left="5139" w:hanging="360"/>
      </w:pPr>
      <w:rPr>
        <w:rFonts w:ascii="Courier New" w:hAnsi="Courier New" w:hint="default"/>
      </w:rPr>
    </w:lvl>
    <w:lvl w:ilvl="8" w:tplc="0C090005" w:tentative="1">
      <w:start w:val="1"/>
      <w:numFmt w:val="bullet"/>
      <w:lvlText w:val=""/>
      <w:lvlJc w:val="left"/>
      <w:pPr>
        <w:ind w:left="5859" w:hanging="360"/>
      </w:pPr>
      <w:rPr>
        <w:rFonts w:ascii="Wingdings" w:hAnsi="Wingdings" w:hint="default"/>
      </w:rPr>
    </w:lvl>
  </w:abstractNum>
  <w:abstractNum w:abstractNumId="26" w15:restartNumberingAfterBreak="0">
    <w:nsid w:val="4E815FF8"/>
    <w:multiLevelType w:val="hybridMultilevel"/>
    <w:tmpl w:val="D3CAA554"/>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27" w15:restartNumberingAfterBreak="0">
    <w:nsid w:val="52D62392"/>
    <w:multiLevelType w:val="hybridMultilevel"/>
    <w:tmpl w:val="C7EC4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F34D41"/>
    <w:multiLevelType w:val="hybridMultilevel"/>
    <w:tmpl w:val="E04C5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9A4ABE"/>
    <w:multiLevelType w:val="hybridMultilevel"/>
    <w:tmpl w:val="F6F6EE0C"/>
    <w:lvl w:ilvl="0" w:tplc="40263E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79652C8"/>
    <w:multiLevelType w:val="hybridMultilevel"/>
    <w:tmpl w:val="17741542"/>
    <w:lvl w:ilvl="0" w:tplc="F648C1C8">
      <w:numFmt w:val="bullet"/>
      <w:lvlText w:val=""/>
      <w:lvlJc w:val="left"/>
      <w:pPr>
        <w:ind w:left="442" w:hanging="284"/>
      </w:pPr>
      <w:rPr>
        <w:rFonts w:ascii="Symbol" w:eastAsia="Symbol" w:hAnsi="Symbol" w:cs="Symbol" w:hint="default"/>
        <w:color w:val="FFFFFF"/>
        <w:w w:val="99"/>
        <w:sz w:val="20"/>
        <w:szCs w:val="20"/>
      </w:rPr>
    </w:lvl>
    <w:lvl w:ilvl="1" w:tplc="B7A60314">
      <w:numFmt w:val="bullet"/>
      <w:lvlText w:val="•"/>
      <w:lvlJc w:val="left"/>
      <w:pPr>
        <w:ind w:left="810" w:hanging="284"/>
      </w:pPr>
      <w:rPr>
        <w:rFonts w:hint="default"/>
      </w:rPr>
    </w:lvl>
    <w:lvl w:ilvl="2" w:tplc="642EA610">
      <w:numFmt w:val="bullet"/>
      <w:lvlText w:val="•"/>
      <w:lvlJc w:val="left"/>
      <w:pPr>
        <w:ind w:left="1180" w:hanging="284"/>
      </w:pPr>
      <w:rPr>
        <w:rFonts w:hint="default"/>
      </w:rPr>
    </w:lvl>
    <w:lvl w:ilvl="3" w:tplc="5FC43670">
      <w:numFmt w:val="bullet"/>
      <w:lvlText w:val="•"/>
      <w:lvlJc w:val="left"/>
      <w:pPr>
        <w:ind w:left="1551" w:hanging="284"/>
      </w:pPr>
      <w:rPr>
        <w:rFonts w:hint="default"/>
      </w:rPr>
    </w:lvl>
    <w:lvl w:ilvl="4" w:tplc="B844C1A8">
      <w:numFmt w:val="bullet"/>
      <w:lvlText w:val="•"/>
      <w:lvlJc w:val="left"/>
      <w:pPr>
        <w:ind w:left="1921" w:hanging="284"/>
      </w:pPr>
      <w:rPr>
        <w:rFonts w:hint="default"/>
      </w:rPr>
    </w:lvl>
    <w:lvl w:ilvl="5" w:tplc="E7369692">
      <w:numFmt w:val="bullet"/>
      <w:lvlText w:val="•"/>
      <w:lvlJc w:val="left"/>
      <w:pPr>
        <w:ind w:left="2292" w:hanging="284"/>
      </w:pPr>
      <w:rPr>
        <w:rFonts w:hint="default"/>
      </w:rPr>
    </w:lvl>
    <w:lvl w:ilvl="6" w:tplc="05DE5124">
      <w:numFmt w:val="bullet"/>
      <w:lvlText w:val="•"/>
      <w:lvlJc w:val="left"/>
      <w:pPr>
        <w:ind w:left="2662" w:hanging="284"/>
      </w:pPr>
      <w:rPr>
        <w:rFonts w:hint="default"/>
      </w:rPr>
    </w:lvl>
    <w:lvl w:ilvl="7" w:tplc="369A221A">
      <w:numFmt w:val="bullet"/>
      <w:lvlText w:val="•"/>
      <w:lvlJc w:val="left"/>
      <w:pPr>
        <w:ind w:left="3032" w:hanging="284"/>
      </w:pPr>
      <w:rPr>
        <w:rFonts w:hint="default"/>
      </w:rPr>
    </w:lvl>
    <w:lvl w:ilvl="8" w:tplc="B194F53A">
      <w:numFmt w:val="bullet"/>
      <w:lvlText w:val="•"/>
      <w:lvlJc w:val="left"/>
      <w:pPr>
        <w:ind w:left="3403" w:hanging="284"/>
      </w:pPr>
      <w:rPr>
        <w:rFonts w:hint="default"/>
      </w:rPr>
    </w:lvl>
  </w:abstractNum>
  <w:abstractNum w:abstractNumId="31" w15:restartNumberingAfterBreak="0">
    <w:nsid w:val="5C1D12F3"/>
    <w:multiLevelType w:val="hybridMultilevel"/>
    <w:tmpl w:val="2C004E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F5A37C2"/>
    <w:multiLevelType w:val="hybridMultilevel"/>
    <w:tmpl w:val="0184A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F32C23"/>
    <w:multiLevelType w:val="hybridMultilevel"/>
    <w:tmpl w:val="E8D00C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5646AF3"/>
    <w:multiLevelType w:val="hybridMultilevel"/>
    <w:tmpl w:val="5B0A0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8879F9"/>
    <w:multiLevelType w:val="hybridMultilevel"/>
    <w:tmpl w:val="223E037A"/>
    <w:lvl w:ilvl="0" w:tplc="1B58777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F4A3996"/>
    <w:multiLevelType w:val="hybridMultilevel"/>
    <w:tmpl w:val="E9809B3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7" w15:restartNumberingAfterBreak="0">
    <w:nsid w:val="75FF765D"/>
    <w:multiLevelType w:val="hybridMultilevel"/>
    <w:tmpl w:val="E4ECB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837006"/>
    <w:multiLevelType w:val="hybridMultilevel"/>
    <w:tmpl w:val="E690A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B9D1C4E"/>
    <w:multiLevelType w:val="hybridMultilevel"/>
    <w:tmpl w:val="295886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F6342A1"/>
    <w:multiLevelType w:val="hybridMultilevel"/>
    <w:tmpl w:val="4F4811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8"/>
  </w:num>
  <w:num w:numId="4">
    <w:abstractNumId w:val="12"/>
  </w:num>
  <w:num w:numId="5">
    <w:abstractNumId w:val="14"/>
  </w:num>
  <w:num w:numId="6">
    <w:abstractNumId w:val="39"/>
  </w:num>
  <w:num w:numId="7">
    <w:abstractNumId w:val="26"/>
  </w:num>
  <w:num w:numId="8">
    <w:abstractNumId w:val="0"/>
  </w:num>
  <w:num w:numId="9">
    <w:abstractNumId w:val="0"/>
  </w:num>
  <w:num w:numId="10">
    <w:abstractNumId w:val="9"/>
  </w:num>
  <w:num w:numId="11">
    <w:abstractNumId w:val="16"/>
  </w:num>
  <w:num w:numId="12">
    <w:abstractNumId w:val="25"/>
  </w:num>
  <w:num w:numId="13">
    <w:abstractNumId w:val="8"/>
  </w:num>
  <w:num w:numId="14">
    <w:abstractNumId w:val="21"/>
  </w:num>
  <w:num w:numId="15">
    <w:abstractNumId w:val="27"/>
  </w:num>
  <w:num w:numId="16">
    <w:abstractNumId w:val="23"/>
  </w:num>
  <w:num w:numId="17">
    <w:abstractNumId w:val="5"/>
  </w:num>
  <w:num w:numId="18">
    <w:abstractNumId w:val="15"/>
  </w:num>
  <w:num w:numId="19">
    <w:abstractNumId w:val="35"/>
  </w:num>
  <w:num w:numId="20">
    <w:abstractNumId w:val="29"/>
  </w:num>
  <w:num w:numId="21">
    <w:abstractNumId w:val="22"/>
  </w:num>
  <w:num w:numId="22">
    <w:abstractNumId w:val="13"/>
  </w:num>
  <w:num w:numId="23">
    <w:abstractNumId w:val="10"/>
  </w:num>
  <w:num w:numId="24">
    <w:abstractNumId w:val="37"/>
  </w:num>
  <w:num w:numId="25">
    <w:abstractNumId w:val="36"/>
  </w:num>
  <w:num w:numId="26">
    <w:abstractNumId w:val="3"/>
  </w:num>
  <w:num w:numId="27">
    <w:abstractNumId w:val="40"/>
  </w:num>
  <w:num w:numId="28">
    <w:abstractNumId w:val="32"/>
  </w:num>
  <w:num w:numId="29">
    <w:abstractNumId w:val="24"/>
  </w:num>
  <w:num w:numId="30">
    <w:abstractNumId w:val="20"/>
  </w:num>
  <w:num w:numId="31">
    <w:abstractNumId w:val="30"/>
  </w:num>
  <w:num w:numId="32">
    <w:abstractNumId w:val="17"/>
  </w:num>
  <w:num w:numId="33">
    <w:abstractNumId w:val="6"/>
  </w:num>
  <w:num w:numId="34">
    <w:abstractNumId w:val="11"/>
  </w:num>
  <w:num w:numId="35">
    <w:abstractNumId w:val="7"/>
  </w:num>
  <w:num w:numId="36">
    <w:abstractNumId w:val="18"/>
  </w:num>
  <w:num w:numId="37">
    <w:abstractNumId w:val="1"/>
  </w:num>
  <w:num w:numId="38">
    <w:abstractNumId w:val="19"/>
  </w:num>
  <w:num w:numId="39">
    <w:abstractNumId w:val="31"/>
  </w:num>
  <w:num w:numId="40">
    <w:abstractNumId w:val="33"/>
  </w:num>
  <w:num w:numId="41">
    <w:abstractNumId w:val="28"/>
  </w:num>
  <w:num w:numId="42">
    <w:abstractNumId w:val="34"/>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904"/>
    <w:rsid w:val="00004932"/>
    <w:rsid w:val="000121C3"/>
    <w:rsid w:val="00015B90"/>
    <w:rsid w:val="0001607A"/>
    <w:rsid w:val="0002266C"/>
    <w:rsid w:val="0002750F"/>
    <w:rsid w:val="0003187F"/>
    <w:rsid w:val="000349C0"/>
    <w:rsid w:val="00043480"/>
    <w:rsid w:val="00057BE7"/>
    <w:rsid w:val="00085C14"/>
    <w:rsid w:val="00086797"/>
    <w:rsid w:val="00091AC9"/>
    <w:rsid w:val="000942A7"/>
    <w:rsid w:val="00095ECD"/>
    <w:rsid w:val="000A0B9F"/>
    <w:rsid w:val="000A2205"/>
    <w:rsid w:val="000A38BF"/>
    <w:rsid w:val="000A7335"/>
    <w:rsid w:val="000B1620"/>
    <w:rsid w:val="000B5C8C"/>
    <w:rsid w:val="000B71ED"/>
    <w:rsid w:val="000C59E2"/>
    <w:rsid w:val="000C7B2D"/>
    <w:rsid w:val="000D4E4A"/>
    <w:rsid w:val="000F7228"/>
    <w:rsid w:val="000F7B7E"/>
    <w:rsid w:val="00103EEA"/>
    <w:rsid w:val="001115D7"/>
    <w:rsid w:val="001163A0"/>
    <w:rsid w:val="001612DF"/>
    <w:rsid w:val="00170DCD"/>
    <w:rsid w:val="00191109"/>
    <w:rsid w:val="00191235"/>
    <w:rsid w:val="001926F4"/>
    <w:rsid w:val="001A0053"/>
    <w:rsid w:val="001B2465"/>
    <w:rsid w:val="001B3435"/>
    <w:rsid w:val="001D08B4"/>
    <w:rsid w:val="001D5B2B"/>
    <w:rsid w:val="001E7379"/>
    <w:rsid w:val="001F2A9B"/>
    <w:rsid w:val="001F4CA6"/>
    <w:rsid w:val="001F6D2D"/>
    <w:rsid w:val="00201FB6"/>
    <w:rsid w:val="00202305"/>
    <w:rsid w:val="002061B0"/>
    <w:rsid w:val="00217F2B"/>
    <w:rsid w:val="00236278"/>
    <w:rsid w:val="002405CF"/>
    <w:rsid w:val="00240B97"/>
    <w:rsid w:val="0025382D"/>
    <w:rsid w:val="00263BA6"/>
    <w:rsid w:val="0027264D"/>
    <w:rsid w:val="00285D38"/>
    <w:rsid w:val="00293E43"/>
    <w:rsid w:val="00296EF6"/>
    <w:rsid w:val="002A18B1"/>
    <w:rsid w:val="002A7E8A"/>
    <w:rsid w:val="002B5F43"/>
    <w:rsid w:val="002D21A2"/>
    <w:rsid w:val="002E497A"/>
    <w:rsid w:val="002F1E92"/>
    <w:rsid w:val="00301972"/>
    <w:rsid w:val="00313707"/>
    <w:rsid w:val="0032270B"/>
    <w:rsid w:val="00330708"/>
    <w:rsid w:val="00337E7C"/>
    <w:rsid w:val="00344A4B"/>
    <w:rsid w:val="00351760"/>
    <w:rsid w:val="00351CD9"/>
    <w:rsid w:val="00353CBB"/>
    <w:rsid w:val="00371BB8"/>
    <w:rsid w:val="00375286"/>
    <w:rsid w:val="00376A6D"/>
    <w:rsid w:val="00380B98"/>
    <w:rsid w:val="00390CCD"/>
    <w:rsid w:val="00395E36"/>
    <w:rsid w:val="00396023"/>
    <w:rsid w:val="003A2FDE"/>
    <w:rsid w:val="003B0773"/>
    <w:rsid w:val="003C204E"/>
    <w:rsid w:val="003C2C09"/>
    <w:rsid w:val="003C2F4C"/>
    <w:rsid w:val="003C4A7E"/>
    <w:rsid w:val="003C4BB5"/>
    <w:rsid w:val="003E24AA"/>
    <w:rsid w:val="003E4091"/>
    <w:rsid w:val="003E4CC0"/>
    <w:rsid w:val="003F3D8F"/>
    <w:rsid w:val="00407428"/>
    <w:rsid w:val="00410409"/>
    <w:rsid w:val="00412CED"/>
    <w:rsid w:val="00416751"/>
    <w:rsid w:val="004203A2"/>
    <w:rsid w:val="00420F9E"/>
    <w:rsid w:val="004213C3"/>
    <w:rsid w:val="0042413C"/>
    <w:rsid w:val="0042676E"/>
    <w:rsid w:val="00427139"/>
    <w:rsid w:val="00431A1C"/>
    <w:rsid w:val="004352C5"/>
    <w:rsid w:val="004358E9"/>
    <w:rsid w:val="004537B3"/>
    <w:rsid w:val="00464C66"/>
    <w:rsid w:val="00480025"/>
    <w:rsid w:val="0048050C"/>
    <w:rsid w:val="00487DD5"/>
    <w:rsid w:val="004925C1"/>
    <w:rsid w:val="004947A7"/>
    <w:rsid w:val="004A2E02"/>
    <w:rsid w:val="004A6CB9"/>
    <w:rsid w:val="004B3C2E"/>
    <w:rsid w:val="004B6FF1"/>
    <w:rsid w:val="004B7C43"/>
    <w:rsid w:val="004C2B20"/>
    <w:rsid w:val="004C375E"/>
    <w:rsid w:val="004D6932"/>
    <w:rsid w:val="004E28AD"/>
    <w:rsid w:val="004E57F1"/>
    <w:rsid w:val="004F0F49"/>
    <w:rsid w:val="004F173F"/>
    <w:rsid w:val="004F1D05"/>
    <w:rsid w:val="004F2008"/>
    <w:rsid w:val="00502226"/>
    <w:rsid w:val="00505B5D"/>
    <w:rsid w:val="005067CA"/>
    <w:rsid w:val="00511DBB"/>
    <w:rsid w:val="0052443C"/>
    <w:rsid w:val="0052775E"/>
    <w:rsid w:val="00540948"/>
    <w:rsid w:val="005416F0"/>
    <w:rsid w:val="00542514"/>
    <w:rsid w:val="00546AED"/>
    <w:rsid w:val="0054703D"/>
    <w:rsid w:val="005512EF"/>
    <w:rsid w:val="005621E4"/>
    <w:rsid w:val="00585B07"/>
    <w:rsid w:val="00590902"/>
    <w:rsid w:val="00592A14"/>
    <w:rsid w:val="00596FD7"/>
    <w:rsid w:val="005A08EB"/>
    <w:rsid w:val="005A3625"/>
    <w:rsid w:val="005B37F7"/>
    <w:rsid w:val="005B4738"/>
    <w:rsid w:val="005C212D"/>
    <w:rsid w:val="005C27A7"/>
    <w:rsid w:val="005C3CB0"/>
    <w:rsid w:val="005F3214"/>
    <w:rsid w:val="00612231"/>
    <w:rsid w:val="00635EB1"/>
    <w:rsid w:val="006369B8"/>
    <w:rsid w:val="006370DB"/>
    <w:rsid w:val="006449D2"/>
    <w:rsid w:val="006473BB"/>
    <w:rsid w:val="00655421"/>
    <w:rsid w:val="0066495D"/>
    <w:rsid w:val="00667207"/>
    <w:rsid w:val="00673BFD"/>
    <w:rsid w:val="00695EB6"/>
    <w:rsid w:val="006979C3"/>
    <w:rsid w:val="006A3770"/>
    <w:rsid w:val="006A4D46"/>
    <w:rsid w:val="006A601E"/>
    <w:rsid w:val="006A6024"/>
    <w:rsid w:val="006A7C0C"/>
    <w:rsid w:val="006B741A"/>
    <w:rsid w:val="006C18E4"/>
    <w:rsid w:val="006C31FF"/>
    <w:rsid w:val="006C6256"/>
    <w:rsid w:val="006C6B6C"/>
    <w:rsid w:val="006C704D"/>
    <w:rsid w:val="006D31A2"/>
    <w:rsid w:val="006D782B"/>
    <w:rsid w:val="006E04C6"/>
    <w:rsid w:val="006F18E9"/>
    <w:rsid w:val="0070331D"/>
    <w:rsid w:val="007052B1"/>
    <w:rsid w:val="00711BF4"/>
    <w:rsid w:val="007149A2"/>
    <w:rsid w:val="00741B43"/>
    <w:rsid w:val="0074223E"/>
    <w:rsid w:val="0074609F"/>
    <w:rsid w:val="007543AC"/>
    <w:rsid w:val="00756537"/>
    <w:rsid w:val="00756A2B"/>
    <w:rsid w:val="007845DF"/>
    <w:rsid w:val="00791805"/>
    <w:rsid w:val="007A0EBC"/>
    <w:rsid w:val="007A2DFC"/>
    <w:rsid w:val="007A3364"/>
    <w:rsid w:val="007A494D"/>
    <w:rsid w:val="007B27F1"/>
    <w:rsid w:val="007B4ABB"/>
    <w:rsid w:val="007B6904"/>
    <w:rsid w:val="007B70CC"/>
    <w:rsid w:val="007B7628"/>
    <w:rsid w:val="007C12FF"/>
    <w:rsid w:val="007C36E4"/>
    <w:rsid w:val="007E3F2F"/>
    <w:rsid w:val="007E75D8"/>
    <w:rsid w:val="00805F70"/>
    <w:rsid w:val="0081113F"/>
    <w:rsid w:val="00816782"/>
    <w:rsid w:val="0082141D"/>
    <w:rsid w:val="00827F24"/>
    <w:rsid w:val="00832B9D"/>
    <w:rsid w:val="00840988"/>
    <w:rsid w:val="00841701"/>
    <w:rsid w:val="008449FD"/>
    <w:rsid w:val="00855DA8"/>
    <w:rsid w:val="00886399"/>
    <w:rsid w:val="00886E04"/>
    <w:rsid w:val="008974CA"/>
    <w:rsid w:val="008B20B7"/>
    <w:rsid w:val="008C6BAD"/>
    <w:rsid w:val="008D7B38"/>
    <w:rsid w:val="008E1F7F"/>
    <w:rsid w:val="008E73B7"/>
    <w:rsid w:val="008F00E8"/>
    <w:rsid w:val="009113BB"/>
    <w:rsid w:val="00921A22"/>
    <w:rsid w:val="00931B93"/>
    <w:rsid w:val="00933EED"/>
    <w:rsid w:val="00940CDE"/>
    <w:rsid w:val="0095069E"/>
    <w:rsid w:val="00962C46"/>
    <w:rsid w:val="00963000"/>
    <w:rsid w:val="009704A0"/>
    <w:rsid w:val="0097742A"/>
    <w:rsid w:val="0097744F"/>
    <w:rsid w:val="00980EED"/>
    <w:rsid w:val="00985E36"/>
    <w:rsid w:val="00991670"/>
    <w:rsid w:val="009B050C"/>
    <w:rsid w:val="009B31A5"/>
    <w:rsid w:val="009B5E5B"/>
    <w:rsid w:val="009B6C8C"/>
    <w:rsid w:val="009C0FCA"/>
    <w:rsid w:val="009C3963"/>
    <w:rsid w:val="009D323C"/>
    <w:rsid w:val="009E33DF"/>
    <w:rsid w:val="009E70F4"/>
    <w:rsid w:val="009E7A9C"/>
    <w:rsid w:val="009F0861"/>
    <w:rsid w:val="00A173D4"/>
    <w:rsid w:val="00A35E2D"/>
    <w:rsid w:val="00A54CB3"/>
    <w:rsid w:val="00A55F82"/>
    <w:rsid w:val="00A74B8A"/>
    <w:rsid w:val="00A81C1C"/>
    <w:rsid w:val="00A85F61"/>
    <w:rsid w:val="00A86DB3"/>
    <w:rsid w:val="00A92E4F"/>
    <w:rsid w:val="00AA25DC"/>
    <w:rsid w:val="00AB1EED"/>
    <w:rsid w:val="00AC7025"/>
    <w:rsid w:val="00AC7FC6"/>
    <w:rsid w:val="00AD196F"/>
    <w:rsid w:val="00AD2434"/>
    <w:rsid w:val="00AD3CCE"/>
    <w:rsid w:val="00B03BF6"/>
    <w:rsid w:val="00B07A46"/>
    <w:rsid w:val="00B07DCE"/>
    <w:rsid w:val="00B12123"/>
    <w:rsid w:val="00B21043"/>
    <w:rsid w:val="00B26588"/>
    <w:rsid w:val="00B32F0C"/>
    <w:rsid w:val="00B42EA0"/>
    <w:rsid w:val="00B44CAC"/>
    <w:rsid w:val="00B456E0"/>
    <w:rsid w:val="00B4684D"/>
    <w:rsid w:val="00B54389"/>
    <w:rsid w:val="00B573D6"/>
    <w:rsid w:val="00B73E65"/>
    <w:rsid w:val="00B81455"/>
    <w:rsid w:val="00B87919"/>
    <w:rsid w:val="00B9514C"/>
    <w:rsid w:val="00B9627F"/>
    <w:rsid w:val="00BA2415"/>
    <w:rsid w:val="00BA2C8C"/>
    <w:rsid w:val="00BA4DB2"/>
    <w:rsid w:val="00BA4F95"/>
    <w:rsid w:val="00BB33F9"/>
    <w:rsid w:val="00BC2CED"/>
    <w:rsid w:val="00BC3CE6"/>
    <w:rsid w:val="00BE3348"/>
    <w:rsid w:val="00BE5E41"/>
    <w:rsid w:val="00BF078E"/>
    <w:rsid w:val="00BF4866"/>
    <w:rsid w:val="00C00EA8"/>
    <w:rsid w:val="00C101FC"/>
    <w:rsid w:val="00C134C5"/>
    <w:rsid w:val="00C24EDC"/>
    <w:rsid w:val="00C25A76"/>
    <w:rsid w:val="00C31EB3"/>
    <w:rsid w:val="00C32206"/>
    <w:rsid w:val="00C32AB5"/>
    <w:rsid w:val="00C36A2F"/>
    <w:rsid w:val="00C422C8"/>
    <w:rsid w:val="00C42EEF"/>
    <w:rsid w:val="00C45C67"/>
    <w:rsid w:val="00C4671A"/>
    <w:rsid w:val="00C468FB"/>
    <w:rsid w:val="00C47091"/>
    <w:rsid w:val="00C523FF"/>
    <w:rsid w:val="00C71C3C"/>
    <w:rsid w:val="00C72E39"/>
    <w:rsid w:val="00C73D39"/>
    <w:rsid w:val="00C76998"/>
    <w:rsid w:val="00C85783"/>
    <w:rsid w:val="00C85965"/>
    <w:rsid w:val="00C874AB"/>
    <w:rsid w:val="00C93E83"/>
    <w:rsid w:val="00C94CC4"/>
    <w:rsid w:val="00CA1AEE"/>
    <w:rsid w:val="00CA593D"/>
    <w:rsid w:val="00CC5D11"/>
    <w:rsid w:val="00CD3CCD"/>
    <w:rsid w:val="00CE19AA"/>
    <w:rsid w:val="00CE3D68"/>
    <w:rsid w:val="00CF70B6"/>
    <w:rsid w:val="00D03AE8"/>
    <w:rsid w:val="00D21780"/>
    <w:rsid w:val="00D23346"/>
    <w:rsid w:val="00D243B8"/>
    <w:rsid w:val="00D2542A"/>
    <w:rsid w:val="00D34794"/>
    <w:rsid w:val="00D4502D"/>
    <w:rsid w:val="00D530CE"/>
    <w:rsid w:val="00D53E3C"/>
    <w:rsid w:val="00D75F1A"/>
    <w:rsid w:val="00D77950"/>
    <w:rsid w:val="00D90DE7"/>
    <w:rsid w:val="00DA3D96"/>
    <w:rsid w:val="00DC3762"/>
    <w:rsid w:val="00DC5C47"/>
    <w:rsid w:val="00DD1C15"/>
    <w:rsid w:val="00DD616A"/>
    <w:rsid w:val="00DE0465"/>
    <w:rsid w:val="00DE4E25"/>
    <w:rsid w:val="00E049ED"/>
    <w:rsid w:val="00E34E6D"/>
    <w:rsid w:val="00E37CD4"/>
    <w:rsid w:val="00E57848"/>
    <w:rsid w:val="00E750BF"/>
    <w:rsid w:val="00E90708"/>
    <w:rsid w:val="00E971EC"/>
    <w:rsid w:val="00EB5286"/>
    <w:rsid w:val="00EC4C61"/>
    <w:rsid w:val="00ED21C3"/>
    <w:rsid w:val="00ED388C"/>
    <w:rsid w:val="00EE0E98"/>
    <w:rsid w:val="00EF00C8"/>
    <w:rsid w:val="00EF02B0"/>
    <w:rsid w:val="00EF13A4"/>
    <w:rsid w:val="00EF4103"/>
    <w:rsid w:val="00F015E4"/>
    <w:rsid w:val="00F01B61"/>
    <w:rsid w:val="00F024DD"/>
    <w:rsid w:val="00F13AE5"/>
    <w:rsid w:val="00F149FD"/>
    <w:rsid w:val="00F14EC1"/>
    <w:rsid w:val="00F22E74"/>
    <w:rsid w:val="00F37975"/>
    <w:rsid w:val="00F4262F"/>
    <w:rsid w:val="00F51314"/>
    <w:rsid w:val="00F5191F"/>
    <w:rsid w:val="00F53719"/>
    <w:rsid w:val="00F57291"/>
    <w:rsid w:val="00F66CB0"/>
    <w:rsid w:val="00F74534"/>
    <w:rsid w:val="00F76C89"/>
    <w:rsid w:val="00F970A9"/>
    <w:rsid w:val="00F97CFB"/>
    <w:rsid w:val="00FA03FA"/>
    <w:rsid w:val="00FA29B8"/>
    <w:rsid w:val="00FA42A5"/>
    <w:rsid w:val="00FB1CC0"/>
    <w:rsid w:val="00FC7CBC"/>
    <w:rsid w:val="00FD3D92"/>
    <w:rsid w:val="00FE4579"/>
    <w:rsid w:val="00FF065E"/>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3C6E906B"/>
  <w15:docId w15:val="{3B21CCBF-1CAE-4080-A523-7F0FCDBD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7052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99"/>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02750F"/>
    <w:pPr>
      <w:numPr>
        <w:numId w:val="1"/>
      </w:numPr>
      <w:tabs>
        <w:tab w:val="clear" w:pos="1080"/>
        <w:tab w:val="num" w:pos="360"/>
      </w:tabs>
      <w:ind w:left="360"/>
    </w:pPr>
    <w:rPr>
      <w:rFonts w:cs="Calibri"/>
    </w:r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semiHidden/>
    <w:rsid w:val="007052B1"/>
    <w:rPr>
      <w:rFonts w:asciiTheme="majorHAnsi" w:eastAsiaTheme="majorEastAsia" w:hAnsiTheme="majorHAnsi" w:cstheme="majorBidi"/>
      <w:b/>
      <w:bCs/>
      <w:color w:val="4F81BD" w:themeColor="accent1"/>
      <w:sz w:val="24"/>
      <w:szCs w:val="20"/>
    </w:rPr>
  </w:style>
  <w:style w:type="character" w:styleId="CommentReference">
    <w:name w:val="annotation reference"/>
    <w:basedOn w:val="DefaultParagraphFont"/>
    <w:uiPriority w:val="99"/>
    <w:semiHidden/>
    <w:unhideWhenUsed/>
    <w:rsid w:val="00CC5D11"/>
    <w:rPr>
      <w:sz w:val="16"/>
      <w:szCs w:val="16"/>
    </w:rPr>
  </w:style>
  <w:style w:type="paragraph" w:styleId="CommentText">
    <w:name w:val="annotation text"/>
    <w:basedOn w:val="Normal"/>
    <w:link w:val="CommentTextChar"/>
    <w:uiPriority w:val="99"/>
    <w:semiHidden/>
    <w:unhideWhenUsed/>
    <w:rsid w:val="00CC5D11"/>
    <w:rPr>
      <w:sz w:val="20"/>
    </w:rPr>
  </w:style>
  <w:style w:type="character" w:customStyle="1" w:styleId="CommentTextChar">
    <w:name w:val="Comment Text Char"/>
    <w:basedOn w:val="DefaultParagraphFont"/>
    <w:link w:val="CommentText"/>
    <w:uiPriority w:val="99"/>
    <w:semiHidden/>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 w:type="paragraph" w:styleId="BodyText">
    <w:name w:val="Body Text"/>
    <w:basedOn w:val="Normal"/>
    <w:link w:val="BodyTextChar"/>
    <w:uiPriority w:val="1"/>
    <w:qFormat/>
    <w:rsid w:val="00805F70"/>
    <w:pPr>
      <w:widowControl w:val="0"/>
      <w:autoSpaceDE w:val="0"/>
      <w:autoSpaceDN w:val="0"/>
    </w:pPr>
    <w:rPr>
      <w:rFonts w:eastAsia="Calibri" w:cs="Calibri"/>
      <w:sz w:val="22"/>
      <w:szCs w:val="22"/>
      <w:lang w:val="en-US"/>
    </w:rPr>
  </w:style>
  <w:style w:type="character" w:customStyle="1" w:styleId="BodyTextChar">
    <w:name w:val="Body Text Char"/>
    <w:basedOn w:val="DefaultParagraphFont"/>
    <w:link w:val="BodyText"/>
    <w:uiPriority w:val="1"/>
    <w:rsid w:val="00805F70"/>
    <w:rPr>
      <w:rFonts w:ascii="Calibri" w:eastAsia="Calibri" w:hAnsi="Calibri" w:cs="Calibri"/>
      <w:lang w:val="en-US"/>
    </w:rPr>
  </w:style>
  <w:style w:type="paragraph" w:customStyle="1" w:styleId="TableParagraph">
    <w:name w:val="Table Paragraph"/>
    <w:basedOn w:val="Normal"/>
    <w:uiPriority w:val="1"/>
    <w:qFormat/>
    <w:rsid w:val="00805F70"/>
    <w:pPr>
      <w:widowControl w:val="0"/>
      <w:autoSpaceDE w:val="0"/>
      <w:autoSpaceDN w:val="0"/>
      <w:ind w:left="107"/>
    </w:pPr>
    <w:rPr>
      <w:rFonts w:eastAsia="Calibri" w:cs="Calibri"/>
      <w:sz w:val="22"/>
      <w:szCs w:val="22"/>
      <w:lang w:val="en-US"/>
    </w:rPr>
  </w:style>
  <w:style w:type="character" w:styleId="Emphasis">
    <w:name w:val="Emphasis"/>
    <w:basedOn w:val="DefaultParagraphFont"/>
    <w:uiPriority w:val="99"/>
    <w:qFormat/>
    <w:rsid w:val="00B4684D"/>
    <w:rPr>
      <w:rFonts w:cs="Times New Roman"/>
      <w:b/>
      <w:bCs/>
    </w:rPr>
  </w:style>
  <w:style w:type="paragraph" w:styleId="FootnoteText">
    <w:name w:val="footnote text"/>
    <w:basedOn w:val="Normal"/>
    <w:link w:val="FootnoteTextChar"/>
    <w:uiPriority w:val="99"/>
    <w:semiHidden/>
    <w:unhideWhenUsed/>
    <w:rsid w:val="003C2F4C"/>
    <w:rPr>
      <w:sz w:val="20"/>
    </w:rPr>
  </w:style>
  <w:style w:type="character" w:customStyle="1" w:styleId="FootnoteTextChar">
    <w:name w:val="Footnote Text Char"/>
    <w:basedOn w:val="DefaultParagraphFont"/>
    <w:link w:val="FootnoteText"/>
    <w:uiPriority w:val="99"/>
    <w:semiHidden/>
    <w:rsid w:val="003C2F4C"/>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3C2F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216866">
      <w:bodyDiv w:val="1"/>
      <w:marLeft w:val="0"/>
      <w:marRight w:val="0"/>
      <w:marTop w:val="0"/>
      <w:marBottom w:val="0"/>
      <w:divBdr>
        <w:top w:val="none" w:sz="0" w:space="0" w:color="auto"/>
        <w:left w:val="none" w:sz="0" w:space="0" w:color="auto"/>
        <w:bottom w:val="none" w:sz="0" w:space="0" w:color="auto"/>
        <w:right w:val="none" w:sz="0" w:space="0" w:color="auto"/>
      </w:divBdr>
    </w:div>
    <w:div w:id="997465457">
      <w:bodyDiv w:val="1"/>
      <w:marLeft w:val="0"/>
      <w:marRight w:val="0"/>
      <w:marTop w:val="0"/>
      <w:marBottom w:val="0"/>
      <w:divBdr>
        <w:top w:val="none" w:sz="0" w:space="0" w:color="auto"/>
        <w:left w:val="none" w:sz="0" w:space="0" w:color="auto"/>
        <w:bottom w:val="none" w:sz="0" w:space="0" w:color="auto"/>
        <w:right w:val="none" w:sz="0" w:space="0" w:color="auto"/>
      </w:divBdr>
    </w:div>
    <w:div w:id="1030256552">
      <w:bodyDiv w:val="1"/>
      <w:marLeft w:val="0"/>
      <w:marRight w:val="0"/>
      <w:marTop w:val="0"/>
      <w:marBottom w:val="0"/>
      <w:divBdr>
        <w:top w:val="none" w:sz="0" w:space="0" w:color="auto"/>
        <w:left w:val="none" w:sz="0" w:space="0" w:color="auto"/>
        <w:bottom w:val="none" w:sz="0" w:space="0" w:color="auto"/>
        <w:right w:val="none" w:sz="0" w:space="0" w:color="auto"/>
      </w:divBdr>
    </w:div>
    <w:div w:id="1306931090">
      <w:bodyDiv w:val="1"/>
      <w:marLeft w:val="0"/>
      <w:marRight w:val="0"/>
      <w:marTop w:val="0"/>
      <w:marBottom w:val="0"/>
      <w:divBdr>
        <w:top w:val="none" w:sz="0" w:space="0" w:color="auto"/>
        <w:left w:val="none" w:sz="0" w:space="0" w:color="auto"/>
        <w:bottom w:val="none" w:sz="0" w:space="0" w:color="auto"/>
        <w:right w:val="none" w:sz="0" w:space="0" w:color="auto"/>
      </w:divBdr>
    </w:div>
    <w:div w:id="1479807023">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health.gov.au/internet/healthyactive/publishing.nsf/Content/your-bmi" TargetMode="External"/><Relationship Id="rId18" Type="http://schemas.openxmlformats.org/officeDocument/2006/relationships/hyperlink" Target="http://publications.nice.org.uk/obesity-cg43/guidanc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www.obesityaction.org/weight-bias-and-stigma/people-first-language-for-obesity" TargetMode="External"/><Relationship Id="rId17" Type="http://schemas.openxmlformats.org/officeDocument/2006/relationships/hyperlink" Target="http://www.nhmrc.gov.au/guidelines/publications/n57" TargetMode="External"/><Relationship Id="rId2" Type="http://schemas.openxmlformats.org/officeDocument/2006/relationships/customXml" Target="../customXml/item2.xml"/><Relationship Id="rId16" Type="http://schemas.openxmlformats.org/officeDocument/2006/relationships/hyperlink" Target="https://www.safetyandquality.gov.au/wp-content/uploads/2012/01/Charter-PDf.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uptodate.com/contents/health-hazards-associated-with-obesity-in-"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nice.org.uk" TargetMode="External"/><Relationship Id="rId22"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hyperlink" Target="https://www.nhmrc.gov.au/guidelines-publications/n5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E4A1A3A4C9D64597314CB8AAACD486" ma:contentTypeVersion="0" ma:contentTypeDescription="Create a new document." ma:contentTypeScope="" ma:versionID="b00a9be081181d19f16c4bda5d0734f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p:Policy xmlns:p="office.server.policy" id="" local="true">
  <p:Name>Document</p:Name>
  <p:Description/>
  <p:Statement/>
  <p:PolicyItems>
    <p:PolicyItem featureId="Microsoft.Office.RecordsManagement.PolicyFeatures.PolicyAudit">
      <p:Name>Auditing</p:Name>
      <p:Description>Audits user actions on documents and list items to the Audit Log.</p:Description>
      <p:CustomData>
        <Audit>
          <View/>
        </Audit>
      </p:CustomData>
    </p:PolicyItem>
  </p:PolicyItems>
</p:Policy>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BCBA59-EC7D-4540-B7A1-F7A8A09E9FAF}"/>
</file>

<file path=customXml/itemProps2.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3.xml><?xml version="1.0" encoding="utf-8"?>
<ds:datastoreItem xmlns:ds="http://schemas.openxmlformats.org/officeDocument/2006/customXml" ds:itemID="{297F58B0-E6BF-4237-9984-6DF2E01C04FA}">
  <ds:schemaRefs>
    <ds:schemaRef ds:uri="http://purl.org/dc/elements/1.1/"/>
    <ds:schemaRef ds:uri="http://schemas.microsoft.com/sharepoint/v3"/>
    <ds:schemaRef ds:uri="http://schemas.microsoft.com/sharepoint/v4"/>
    <ds:schemaRef ds:uri="http://schemas.openxmlformats.org/package/2006/metadata/core-properties"/>
    <ds:schemaRef ds:uri="http://schemas.microsoft.com/office/2006/documentManagement/types"/>
    <ds:schemaRef ds:uri="5632a4c9-a5cb-4633-980a-3b3954ee3155"/>
    <ds:schemaRef ds:uri="http://purl.org/dc/terms/"/>
    <ds:schemaRef ds:uri="http://purl.org/dc/dcmitype/"/>
    <ds:schemaRef ds:uri="http://www.w3.org/XML/1998/namespace"/>
    <ds:schemaRef ds:uri="http://schemas.microsoft.com/office/infopath/2007/PartnerControls"/>
    <ds:schemaRef ds:uri="ad9437ca-7db3-4256-b21b-00797742f4b5"/>
    <ds:schemaRef ds:uri="http://schemas.microsoft.com/office/2006/metadata/properties"/>
  </ds:schemaRefs>
</ds:datastoreItem>
</file>

<file path=customXml/itemProps4.xml><?xml version="1.0" encoding="utf-8"?>
<ds:datastoreItem xmlns:ds="http://schemas.openxmlformats.org/officeDocument/2006/customXml" ds:itemID="{126A44D2-B227-49F1-BA77-7C09C6B837D7}">
  <ds:schemaRefs>
    <ds:schemaRef ds:uri="office.server.policy"/>
  </ds:schemaRefs>
</ds:datastoreItem>
</file>

<file path=customXml/itemProps5.xml><?xml version="1.0" encoding="utf-8"?>
<ds:datastoreItem xmlns:ds="http://schemas.openxmlformats.org/officeDocument/2006/customXml" ds:itemID="{5D286D85-F7D7-4694-8BDF-1328D00B0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15</Pages>
  <Words>5166</Words>
  <Characters>29449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34546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Active Management of Larger (Bariatric) Adult Patients</dc:title>
  <dc:subject>14;#Governance;#2;#Medication Safety;#9;#Consumers, Partnering with;#6;#Preventing and Managing Pressure Injuries;#4;#Clinical Handover;#7;#Clinical Deterioration</dc:subject>
  <dc:creator>Kerryn Hunter</dc:creator>
  <cp:keywords>[Key Words]</cp:keywords>
  <dc:description/>
  <cp:lastModifiedBy>Hunter, Kerryn (Health)</cp:lastModifiedBy>
  <cp:revision>12</cp:revision>
  <cp:lastPrinted>2018-03-08T21:55:00Z</cp:lastPrinted>
  <dcterms:created xsi:type="dcterms:W3CDTF">2018-03-01T00:49:00Z</dcterms:created>
  <dcterms:modified xsi:type="dcterms:W3CDTF">2018-03-20T22:33:00Z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0x0101009FE4A1A3A4C9D64597314CB8AAACD486</vt:lpwstr>
  </property>
  <property fmtid="{D5CDD505-2E9C-101B-9397-08002B2CF9AE}" pid="3" name="TaxKeyword">
    <vt:lpwstr>184;#[Key Words]|f168f47b-e09e-4fc6-9aac-94dc5feb5393</vt:lpwstr>
  </property>
</Properties>
</file>